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80"/>
        <w:jc w:val="center"/>
      </w:pPr>
    </w:p>
    <w:p>
      <w:pPr>
        <w:bidi/>
        <w:spacing w:after="60"/>
        <w:jc w:val="center"/>
      </w:pPr>
      <w:r>
        <w:rPr>
          <w:rFonts w:ascii="David" w:cs="David" w:eastAsia="David" w:hAnsi="David"/>
          <w:b/>
          <w:bCs/>
          <w:color w:val="1F3864"/>
          <w:sz w:val="48"/>
          <w:szCs w:val="48"/>
          <w:rtl/>
        </w:rPr>
        <w:t xml:space="preserve">דבר תורה לפרשת בהעלותך</w:t>
      </w:r>
    </w:p>
    <w:p>
      <w:pPr>
        <w:bidi/>
        <w:spacing w:after="40"/>
        <w:jc w:val="center"/>
      </w:pPr>
      <w:r>
        <w:rPr>
          <w:rFonts w:ascii="David" w:cs="David" w:eastAsia="David" w:hAnsi="David"/>
          <w:i/>
          <w:iCs/>
          <w:color w:val="555555"/>
          <w:sz w:val="28"/>
          <w:szCs w:val="28"/>
          <w:rtl/>
        </w:rPr>
        <w:t xml:space="preserve">מנורה, ענווה, תלונה ונבואה – להאיר ולהעלות</w:t>
      </w:r>
    </w:p>
    <w:p>
      <w:pPr>
        <w:bidi/>
        <w:spacing w:after="60"/>
        <w:jc w:val="center"/>
      </w:pPr>
      <w:r>
        <w:rPr>
          <w:rFonts w:ascii="David" w:cs="David" w:eastAsia="David" w:hAnsi="David"/>
          <w:color w:val="777777"/>
          <w:sz w:val="24"/>
          <w:szCs w:val="24"/>
          <w:rtl/>
        </w:rPr>
        <w:t xml:space="preserve">על פי שיעורי הרב מאיר אליהו, מרן הרב עובדיה יוסף זצוק"ל והרב אליהו עמר</w:t>
      </w:r>
    </w:p>
    <w:p>
      <w:pPr>
        <w:pBdr>
          <w:bottom w:val="single" w:color="2E75B6" w:sz="6" w:space="1"/>
        </w:pBdr>
        <w:bidi/>
        <w:spacing w:after="300"/>
        <w:jc w:val="center"/>
      </w:pPr>
      <w:r>
        <w:rPr>
          <w:rFonts w:ascii="David" w:cs="David" w:eastAsia="David" w:hAnsi="David"/>
          <w:i/>
          <w:iCs/>
          <w:color w:val="999999"/>
          <w:sz w:val="24"/>
          <w:szCs w:val="24"/>
          <w:rtl/>
        </w:rPr>
        <w:t xml:space="preserve">שאלות לשולחן השבת – עם תשובות למחשבה</w:t>
      </w: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אהרן הכהן "חלשה דעתו" כשראה את חנוכת הנשיאים – ומה הקשר למנורה?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שאלת חז"ל המרכזית של הפרשה: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ח, ב) מביא את המדרש: "למה נסמכה פרשת המנורה לפרשת הנשיאים? לפי שכשראה אהרן חנוכת הנשיאים חלשה דעתו, שלא היה עימהם בחנוכה – לא הוא ולא שבטו." אהרן ראה את כל שנים עשר הנשיאים מביאים קורבנות מפוארים, וחשב: אני ושבט לוי – לא חלק לנו בזה?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מעמיק: אמר לו הקדוש ברוך הוא: "שלך גדולה משלהם, שאתה מדליק ומטיב את הנרות." אבל למה הדלקת המנורה גדולה מקורבנות הנשיאים?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ח, ב) מסביר רעיון מדהים: הקדוש ברוך הוא רמז לאהרן על חנוכת החשמונאים – שבניו, הכהנים, ידליקו נרות שיאירו לעולם כולו. הנשיאים הביאו קורבנות שפסקו עם חורבן המקדש, אבל נרות חנוכה דולקים עד היום!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מוסיף נקודה עמוקה: עצם העובדה שאהרן "חלשה דעתו" מראה את גדלותו. הוא לא היה מקנא בנשיאים – הוא היה עצוב שלא יכול לתת גם הוא. זו מידת "עין טובה" – לא "למה לו יש?" אלא "למה אין לי?" אדם שעצוב שהוא לא יכול לתרום – זה אדם שבאמת אוהב את הקדוש ברוך הוא.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כשאנחנו רואים אחרים עושים מצוות ואנחנו לא יכולים – זה בסדר להרגיש חסרון. אבל הקדוש ברוך הוא תמיד נותן לכל אחד את התפקיד שלו. לפעמים דווקא הדבר ה"קטן" שלנו – חיוך, מילה טובה, הדלקת נר – הוא מה שמאיר את העולם.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אליהו, שיעור על פרשת בהעלותך; רש"י במדבר ח ב; רמב"ן במדבר ח ב; מדרש תנחומא בהעלותך ה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2: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מה המסר של פסח שני – ולמה הקדוש ברוך הוא נתן "הזדמנות שנייה"?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מסביר שבפרשה מסופר על אנשים שהיו טמאים בפסח ולא יכלו להקריב קורבן פסח. הם באו למשה ואמרו: "למה ניגרע לבלתי הקריב את קורבן ה' במועדו?" (במדבר ט, ז). משה שאל את ה', והקדוש ברוך הוא חידש מצווה חדשה: פסח שני – בי"ד באייר.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מעמיק: זו אחת המצוות היחידות בתורה שניתנה בזכות בקשה של אנשים פשוטים! הם לא היו נביאים, לא גדולי הדור – הם היו אנשים טמאים שהרגישו חסרון.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(פסחים דף צג עמוד ב') דנה: מי היו האנשים האלה? יש דעה שהיו נושאי ארונו של יוסף, ויש דעה שהיו מישאל ואלצפן שנטמאו בנדב ואביהוא. בכל מקרה – הם לא קיבלו את המצב, הם דרשו הזדמנות.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 בדרשותיו: פסח שני מלמד עיקרון יסודי באמונה –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אין דבר שעומד בפני התשובה</w:t>
      </w:r>
      <w:r>
        <w:rPr>
          <w:rFonts w:ascii="David" w:cs="David" w:eastAsia="David" w:hAnsi="David"/>
          <w:sz w:val="26"/>
          <w:szCs w:val="26"/>
          <w:rtl/>
        </w:rPr>
        <w:t xml:space="preserve">. גם מי שהחמיץ הזדמנות, גם מי שהיה "טמא", גם מי שהיה רחוק – יכול לחזור. הקדוש ברוך הוא תמיד משאיר דלת פתוחה.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קורבן פסח פרק ה') פוסק שפסח שני הוא רגל בפני עצמו – לא תיקון של פסח ראשון, אלא מצווה עצמאית. כלומר, ה"הזדמנות השנייה" אינה פחות חשובה מהראשונה.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אף פעם לא מאוחר מדי. גם מי שפספס – יכול לתקן. גם מי שהרגיש שהוא "טמא", רחוק, לא ראוי – הקדוש ברוך הוא אומר לו: בוא, יש הזדמנות שנייה. העיקר שתרצה.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גמרא פסחים דף צג עמוד ב'; רמב"ם הלכות קורבן פסח פרק ה'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3: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מה הסוד של שני פסוקי "ויהי בנסוע הארון" שמוקפים באות נו"ן הפוכה?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מעלה נושא מרתק: בתורה יש שני פסוקים – "ויהי בנסוע הארון ויאמר משה: קומה ה'" ו"ובנוחו יאמר: שובה ה'" (במדבר י, לה-לו) – שמוקפים בסימן מיוחד: אות נו"ן הפוכה לפניהם ואחריהם. למה?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(שבת דף קטז עמוד א'): "פרשה זו עשה לה הקדוש ברוך הוא סימניות מלמעלה ומלמטה, לומר שאין זה מקומה." רבי אומר: שני הפסוקים האלה הם ספר בפני עצמו!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רבן שמעון בן גמליאל</w:t>
      </w:r>
      <w:r>
        <w:rPr>
          <w:rFonts w:ascii="David" w:cs="David" w:eastAsia="David" w:hAnsi="David"/>
          <w:sz w:val="26"/>
          <w:szCs w:val="26"/>
          <w:rtl/>
        </w:rPr>
        <w:t xml:space="preserve"> אומר: פרשה זו עתידה להיעקר ממקומה ולהיכתב במקום אחר – ולמה נכתבה כאן? כדי להפסיק בין פורענות לפורענות.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מעמיק: אם שני הפסוקים האלה הם ספר בפני עצמו, אז ספר במדבר מתחלק לשלושה ספרים! ולפי זה יש שבעה ספרי תורה ולא חמישה.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 הקדוש</w:t>
      </w:r>
      <w:r>
        <w:rPr>
          <w:rFonts w:ascii="David" w:cs="David" w:eastAsia="David" w:hAnsi="David"/>
          <w:sz w:val="26"/>
          <w:szCs w:val="26"/>
          <w:rtl/>
        </w:rPr>
        <w:t xml:space="preserve"> (פרשת בהעלותך) מסביר שהנוני"ן ההפוכות מסמלות את הנשמה שמתהפכת – פעם פונה למעלה ופעם למטה. זו דרך החיים: עליות וירידות, אבל תמיד עם ארון הברית בראש.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החיים מלאים עליות וירידות. הנוני"ן ההפוכות מלמדות שגם הירידה היא חלק מהדרך – היא לא סוף הסיפור. העיקר שהארון – התורה – תמיד מוביל אותנו.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עמר, שיעור על פרשת בהעלותך; גמרא שבת דף קטז עמוד א'; זוהר הקדוש פרשת בהעלותך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4: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העם התלונן דווקא אחרי שיצאו מהר סיני – ומה היה חטאם?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מסביר שהפסוק אומר: "ויהי העם כמתאוננים, רע באוזני ה'" (במדבר יא, א).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מפרש: "מחפשים עילה להיפרד מאחרי ה'." הם לא התלוננו על משהו ספציפי – הם חיפשו סיבה להתלונן. כמו ילד שלא רוצה ללכת לבית ספר ומחפש כל תירוץ.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מעמיק: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יא, א) מסביר שהם התלוננו על "טורח הדרך" – הליכה של שלושה ימים ברציפות. אבל הסיבה האמיתית הייתה עמוקה יותר: הם פחדו מהכניסה לארץ ישראל. בהר סיני הם היו בטוחים – מן יורד, ענני כבוד מגינים, באר של מרים. עכשיו הם מתחילים ללכת לעבר המציאות – וזה מפחיד.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מוסיף: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 הקדוש</w:t>
      </w:r>
      <w:r>
        <w:rPr>
          <w:rFonts w:ascii="David" w:cs="David" w:eastAsia="David" w:hAnsi="David"/>
          <w:sz w:val="26"/>
          <w:szCs w:val="26"/>
          <w:rtl/>
        </w:rPr>
        <w:t xml:space="preserve"> (פרשת בהעלותך) מלמד שה"אש" שבערה בהם ("ותבער בם אש ה'") לא הייתה עונש חיצוני – אלא ביטוי לאש הפנימית שלהם, לכעס ולמרירות שבערו בתוכם. מי שמלא תלונות – שורף את עצמו מבפנים.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תלונה כרונית היא סם. היא לא פותרת בעיות – היא יוצרת אותן. אדם שכל הזמן מחפש על מה להתלונן, ימצא תמיד. אבל אדם שמחפש על מה להודות – גם הוא ימצא תמיד. השאלה היא: מה אתה מחפש?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אליהו, שיעור על פרשת בהעלותך; רש"י במדבר יא א; רמב"ן במדבר יא א; זוהר הקדוש פרשת בהעלותך</w:t>
      </w: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5: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"מי יאכילנו בשר" – למה התאווה לבשר הייתה חטא כל כך חמור?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מסביר: העם אמר "זכרנו את הדגה אשר נאכל במצרים חינם, את הקישואים ואת האבטיחים" (במדבר יא, ה). אבל רגע –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שואל: "חינם"? הרי היו עבדים! מה זה "חינם"? ועונה: חינם מן המצוות. במצרים לא היו צריכים לקיים מצוות. זו הייתה התלונה האמיתית – הם רצו חיים בלי אחריות רוחנית.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מעמיק: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(מורה נבוכים חלק ג' פרק כב) מסביר שהמן היה מאכל מושלם – הוא התאים לכל אחד, היה בו כל הטעמים, ולא היה צריך לטרוח בשבילו. אז למה רצו בשר? כי הם רצו את ה"נורמליות" של מצרים – את השגרה, את הפשטות, את החיים בלי ניסים. הם לא רצו לחיות ברמה רוחנית כל כך גבוהה.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זו טעות נפוצה גם היום. אנשים אומרים "הלוואי שלא הייתי דתי, היה לי יותר קל." אבל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(ברכות דף יז עמוד א') אומרת: "כל שיש בו תורה ואין בו יראת שמים – דומה לגזבר שמסרו לו מפתחות הפנימיות ומפתחות החיצוניות לא מסרו לו." מי שמוותר על הרוחניות כדי ש"יהיה לו קל" – מפסיד את המפתח האמיתי.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לפעמים אנחנו מתגעגעים ל"מצרים" – לחיים הפשוטים, בלי אחריות, בלי מצוות. אבל ה"חינם" של מצרים הוא אשליה. חיים עם משמעות – גם אם הם קשים יותר – שווים יותר מחיים נוחים אבל ריקים.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רש"י במדבר יא ה; רמב"ם מורה נבוכים חלק ג' פרק כב; גמרא ברכות דף יז עמוד א'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6: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מה סוד הנבואה של אלדד ומידד – ולמה משה אמר "מי ייתן כל עם ה' נביאים"?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 שהתורה מספרת: משה נצטווה לבחור שבעים זקנים שיעזרו לו. אלדד ומידד, ששני אנשים שלא הלכו לאוהל מועד, התנבאו במחנה (במדבר יא, כו-כט). יהושע אמר: "אדוני משה, כלאם!" ומשה ענה: "המקנא אתה לי? מי ייתן כל עם ה' נביאים!"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(סנהדרין דף יז עמוד א'): "מה היו מתנבאים? משה מת ויהושע מכניס את ישראל לארץ." יהושע שמע שהם מנבאים את מות רבו – ולכן רצה לכלוא אותם. אבל משה, בענוותנותו העצומה, לא חשש לכבודו. הוא שמח שיש עוד נביאים בישראל.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מעמיק בשם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 הקדוש</w:t>
      </w:r>
      <w:r>
        <w:rPr>
          <w:rFonts w:ascii="David" w:cs="David" w:eastAsia="David" w:hAnsi="David"/>
          <w:sz w:val="26"/>
          <w:szCs w:val="26"/>
          <w:rtl/>
        </w:rPr>
        <w:t xml:space="preserve"> (פרשת בהעלותך): אלדד ומידד נשארו במחנה כי חשבו שהם לא ראויים. דווקא הענווה שלהם – העובדה שלא דחפו את עצמם לתפקיד – היא שגרמה לשכינה לשרות עליהם. זו מידתו של משה רבינו: "והאיש משה עניו מאוד מכל האדם."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מנהיג אמיתי לא מפחד שאחרים יצליחו. משה רבינו שמח כשאלדד ומידד התנבאו – כי מנהיג אמיתי רוצה שכולם יגדלו. מי שמפחד מהצלחת אחרים – זו לא מנהיגות, זו חולשה.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עמר, שיעור על פרשת בהעלותך; גמרא סנהדרין דף יז עמוד א'; זוהר הקדוש פרשת בהעלותך</w:t>
      </w: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7: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"והאיש משה עניו מאוד" – מה זה בדיוק ענווה, ולמה דווקא כאן התורה מציינת את זה?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מסביר שהפסוק אומר: "והאיש משה עניו מאוד מכל האדם אשר על פני האדמה" (במדבר יב, ג). זה הפסוק היחיד בתורה שמתאר תכונת אופי של משה.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דעות פרק ב' הלכה ג') מגדיר: ענווה אינה שפלות – אלא הכרה נכונה של מקומך. משה ידע שהוא הגדול ביותר – אבל חשב: אם מישהו אחר היה מקבל את הכישרונות שלי, אולי היה עושה יותר.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מעמיק: למה דווקא כאן? כי מרים ואהרן דיברו עליו: "הרק אך במשה דיבר ה'? הלא גם בנו דיבר" (במדבר יב, ב). הם טענו שהם שווים לו. אדם רגיל היה כועס, מתעלב, מגיב. אבל משה? שתק.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 הקדוש</w:t>
      </w:r>
      <w:r>
        <w:rPr>
          <w:rFonts w:ascii="David" w:cs="David" w:eastAsia="David" w:hAnsi="David"/>
          <w:sz w:val="26"/>
          <w:szCs w:val="26"/>
          <w:rtl/>
        </w:rPr>
        <w:t xml:space="preserve"> מלמד: הענווה של משה לא הייתה חולשה – היא הייתה הכוח הגדול ביותר שלו. דווקא כי הוא לא הגן על כבודו – הקדוש ברוך הוא הגן עליו.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מספר: פעם שאלו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, אביו, מה ענווה? ענה: ענווה זה לא לחשוב שאתה קטן. ענווה זה לדעת שאתה גדול – ולהתנהג כקטן. מי שחושב שהוא קטן – זו לא ענווה, זו חוסר הכרת עצמי. ענווה אמיתית היא: אני יודע מה קיבלתי מה' – ואני משתמש בזה לטובת אחרים, לא לכבוד עצמי.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ענווה אינה להסתתר או להצניע את הכישרונות. ענווה היא להשתמש בכישרונות לטובת הכלל. אדם עניו לא אומר "אני לא שווה כלום" – הוא אומר "מה שיש לי – זה לא ממני, וזה לא בשבילי."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אליהו, שיעור על פרשת בהעלותך; רמב"ם הלכות דעות פרק ב'; זוהר הקדוש פרשת בהעלותך; הרב מרדכי אליהו זצוק"ל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8: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מה אנחנו לומדים מעונשה של מרים הנביאה – והרי היא דיברה מתוך כוונה טובה?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מסביר: מרים דיברה על משה לאהרן. היא אמרה שמשה פירש מאשתו ציפורה, והתלוננה: "הרק אך במשה דיבר ה'?" (במדבר יב, ב). הכוונה שלה הייתה טובה – היא דאגה לציפורה! ובכל זאת נענשה בצרעת. למה?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טומאת צרעת פרק טז הלכה י'): "הזהרו מנגעי צרעת... זכרו מה שעשה ה' אלוקיכם למרים בדרך. הלא היא דיברה באחיה, שהיא גדולה ממנו בשנים, וגדלתו על ברכיה, וסכנה בנפשה להצילו מן הים – והיא לא דיברה בגנותו אלא טעתה... ואף על פי כן מיד נענשה."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מעמיק: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החפץ חיים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לשון הרע כלל א') לומד ממעשה מרים עיקרון יסודי: אם מרים הנביאה, שדיברה מתוך אהבה ודאגה, ולא ברבים אלא רק לאהרן – נענשה כך, על אחת כמה וכמה אדם רגיל שמדבר בגנות חברו ברבים ומתוך כוונה רעה.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מזהיר: כל מי שחושב ש"זה לא נורא, אני רק אומר את האמת" – ייזכר במרים.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גם דיבור מתוך כוונה טובה יכול להזיק. לפני שמספרים על מישהו – גם אם זה "לתועלת" – צריך לבדוק: האם באמת אין דרך אחרת? האם אני מדבר מתוך דאגה אמיתית או מתוך רכילות מוסווית?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רמב"ם הלכות טומאת צרעת פרק טז הלכה י'; חפץ חיים הלכות לשון הרע כלל א'</w:t>
      </w: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9: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הקדוש ברוך הוא ציווה לעשות חצוצרות כסף – ומה תפקידן?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 שהתורה מצווה: "עשה לך שתי חצוצרות כסף... והיו לך למקרא העדה ולמסע את המחנות" (במדבר י, ב). החצוצרות שימשו לכמה תפקידים: לאסוף את העם, לתת פקודת מסע, לתקוע בזמן מלחמה, ולתקוע בימי שמחה וחגים.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תעניות פרק א' הלכה א'-ב'): תקיעה בחצוצרות בזמן צרה היא מצוות עשה מהתורה. זה לא רק אמצעי טכני – זו תפילה.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י, ט) מסביר: כשישראל תוקעים בחצוצרות – הם מכריזים: אנחנו לא סומכים על כוחנו, אלא על הקדוש ברוך הוא.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החצוצרות מלמדות שבכל מצב – שמחה או צרה – צריך לפנות לקדוש ברוך הוא. בשמחה – להודות. בצרה – לזעוק. אדם שלא מתפלל לא בשמחה ולא בצרה – מנותק ממקור החיים שלו.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עמר, שיעור על פרשת בהעלותך; רמב"ם הלכות תעניות פרק א'; רמב"ן במדבר י ט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10: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כתוב "בהעלותך" – "להעלות" את הנרות – ולא "בהדליקך"?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ח, ב) מפרש: "שצריך להדליק עד שתהא שלהבת עולה מאיליה." כלומר, אהרן לא רק מדליק – הוא מעלה. הוא צריך להחזיק את האש ליד הפתילה עד שהשלהבת תעלה בעצמה ולא תצטרך אותו יותר.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מעמיק: זה משל עמוק לחינוך ולהנהגה.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 הקדוש</w:t>
      </w:r>
      <w:r>
        <w:rPr>
          <w:rFonts w:ascii="David" w:cs="David" w:eastAsia="David" w:hAnsi="David"/>
          <w:sz w:val="26"/>
          <w:szCs w:val="26"/>
          <w:rtl/>
        </w:rPr>
        <w:t xml:space="preserve"> (פרשת בהעלותך) מסביר: הנרות הם נשמות ישראל. תפקיד המנהיג – הרב, ההורה, המורה – הוא להדליק את הנשמה של כל אחד עד שהיא תאיר בעצמה. מנהיג שיוצר תלות – לא מנהיג. מנהיג אמיתי מגדל אנשים שלא צריכים אותו.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 בשם אביו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: מורה טוב הוא לא מי שהתלמידים שלו תמיד צריכים אותו, אלא מי שהתלמידים שלו גדלים ומאירים בעצמם. "עד שתהא שלהבת עולה מאיליה" – זו המטרה.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כל הורה, מורה, או מנהל צריך לזכור: התפקיד שלך הוא לא להיות חיוני לנצח, אלא להעלות את האנשים שלך עד שיוכלו להאיר בעצמם. זו ההדלקה האמיתית.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אליהו, שיעור על פרשת בהעלותך; רש"י במדבר ח ב; זוהר הקדוש פרשת בהעלותך; הרב מרדכי אליהו זצוק"ל</w:t>
      </w: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11: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משה הצטרך שבעים זקנים – האם לא היה יכול להנהיג לבד?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מסביר: משה רבינו התלונן: "לא אוכל אנוכי לבדי לשאת את כל העם הזה כי כבד ממני" (במדבר יא, יד). הקדוש ברוך הוא אמר לו: "אספה לי שבעים איש מזקני ישראל" (במדבר יא, טז).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(סנהדרין דף יז עמוד א'): שבעים הזקנים הם היסוד של הסנהדרין – בית הדין הגדול.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סנהדרין פרק א') מסביר שהצורך בשבעים זקנים מלמד עיקרון: שום אדם, גדול ככל שיהיה, לא יכול לשאת הכל לבד. גם משה רבינו, שדיבר עם הקדוש ברוך הוא פנים אל פנים, הצטרך עזרה.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זו הודאה בכך שבני אדם צריכים אחד את השני. מי שחושב שהוא יכול לעשות הכל לבד – מתנשא. ומי שמבקש עזרה – מראה גדלות. דווקא כי משה היה הענו מכל אדם, הוא יכול היה להגיד: "כבד ממני."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לבקש עזרה זה לא סימן של חולשה – זה סימן של חוכמה. גם האנשים החזקים ביותר צריכים צוות, שותפים, תמיכה. אל תנסה לשאת הכל לבד.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גמרא סנהדרין דף יז עמוד א'; רמב"ם הלכות סנהדרין פרק א'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12: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הלויים הוקדשו "תחת כל בכור" – ומה זה מלמד על שליחות?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 שהתורה אומרת: "ואני הנה לקחתי את הלויים מתוך בני ישראל תחת כל בכור" (במדבר ח, יח). במקור, הבכורות היו אמורים לשרת במקדש. אחרי חטא העגל – הבכורות איבדו את הזכות, והלויים שלא חטאו קיבלו אותה.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שמיטה ויובל פרק יג הלכה יב): "ולא שבט לוי בלבד, אלא כל איש ואיש מכל באי העולם שנדבה רוחו אותו... הרי זה מקודש קודש קודשים." כלומר, כל אדם יכול להיות "לוי" – מי שמקדיש את חייו לעבודת ה'.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אתה לא חייב להיות כהן או לוי כדי לשרת את הקדוש ברוך הוא. כל אדם שמקדיש את עצמו – בלימוד, בחסד, בתפילה – הוא "לוי" במהותו. השאלה היא לא מאיזה שבט אתה, אלא מה אתה עושה עם החיים שלך.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עמר, שיעור על פרשת בהעלותך; רמב"ם הלכות שמיטה ויובל פרק יג הלכה יב</w:t>
      </w: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13: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"קומה ה' ויפוצו אויביך" – למה משה התפלל דווקא כשהארון נסע?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מסביר: כשהארון היה נוסע, משה היה אומר: "קומה ה' ויפוצו אויביך, וינוסו משנאיך מפניך" (במדבר י, לה). וכשנח: "שובה ה' רבבות אלפי ישראל" (במדבר י, לו). שני הפסוקים האלה הם מהתפילות החשובות ביותר – אנחנו אומרים אותם כל שבת בהוצאת ספר התורה!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מעמיק: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 הקדוש</w:t>
      </w:r>
      <w:r>
        <w:rPr>
          <w:rFonts w:ascii="David" w:cs="David" w:eastAsia="David" w:hAnsi="David"/>
          <w:sz w:val="26"/>
          <w:szCs w:val="26"/>
          <w:rtl/>
        </w:rPr>
        <w:t xml:space="preserve"> (פרשת בהעלותך) מסביר שהארון מסמל את התורה. כשהתורה "נוסעת" – כלומר, כשיהודי לומד ומפיץ תורה – אז "ויפוצו אויביך." האויבים של ישראל מתפזרים כשיש תורה. וכש"נח" – כלומר, כשהתורה נמצאת בבית המדרש – "שובה ה' רבבות אלפי ישראל" – השכינה שורה על עם ישראל.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מוסיף: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(סוטה דף מב עמוד א') מלמדת שבזמן מלחמה היו יוצאים עם ארון הברית. הכוח של ישראל אינו בצבא – אלא בתורה. כשהארון נוסע בראש – ישראל מנצחים. כשהארון מאחור – הם מפסידים.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"קומה ה'" – כשאנחנו מרימים את התורה, הקדוש ברוך הוא מרים אותנו. כל בית שיש בו ספר תורה, כל אדם שלומד כל יום – הוא כמו ארון הברית שנוסע לפניו. זו ההגנה הגדולה ביותר שלנו.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אליהו, שיעור על פרשת בהעלותך; זוהר הקדוש פרשת בהעלותך; גמרא סוטה דף מב עמוד א'</w:t>
      </w:r>
    </w:p>
    <w:p>
      <w:pPr>
        <w:bidi/>
        <w:spacing w:before="400"/>
      </w:pPr>
    </w:p>
    <w:p>
      <w:pPr>
        <w:pBdr>
          <w:top w:val="single" w:color="2E75B6" w:sz="4" w:space="6"/>
        </w:pBdr>
        <w:bidi/>
        <w:spacing w:after="100" w:before="200"/>
        <w:jc w:val="center"/>
      </w:pPr>
      <w:r>
        <w:rPr>
          <w:rFonts w:ascii="David" w:cs="David" w:eastAsia="David" w:hAnsi="David"/>
          <w:b/>
          <w:bCs/>
          <w:color w:val="1F3864"/>
          <w:sz w:val="28"/>
          <w:szCs w:val="28"/>
          <w:rtl/>
        </w:rPr>
        <w:t xml:space="preserve">שבת שלום ומבורך!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vid" w:cs="David" w:eastAsia="David" w:hAnsi="David"/>
        <w:sz w:val="26"/>
        <w:szCs w:val="26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jc w:val="center"/>
      <w:outlineLvl w:val="0"/>
    </w:pPr>
    <w:rPr>
      <w:rFonts w:ascii="David" w:cs="David" w:eastAsia="David" w:hAnsi="David"/>
      <w:b/>
      <w:bCs/>
      <w:color w:val="1F3864"/>
      <w:sz w:val="40"/>
      <w:szCs w:val="4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2026-06-05T19:49:54.146Z</dcterms:created>
  <dcterms:modified xsi:type="dcterms:W3CDTF">2026-06-05T19:49:54.146Z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