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ראה</w:t>
      </w:r>
    </w:p>
    <w:p>
      <w:pPr>
        <w:bidi/>
        <w:spacing w:after="120"/>
        <w:jc w:val="center"/>
      </w:pPr>
      <w:r>
        <w:rPr>
          <w:rFonts w:ascii="David" w:cs="David" w:eastAsia="David" w:hAnsi="David"/>
          <w:i/>
          <w:iCs/>
          <w:color w:val="555555"/>
          <w:sz w:val="28"/>
          <w:szCs w:val="28"/>
          <w:rtl/>
        </w:rPr>
        <w:t xml:space="preserve">ברכה וקללה, המקום הנבחר ופתח תפתח את ידך – על ראייה, בחירה ויד פתוחה</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הפרשה פותחת "ראה אנכי נתן לפניכם היום ברכה וקללה" – מדוע פותח משה בלשון יחיד "ראה" וממשיך מיד בלשון רבים "לפניכם", באותו משפט עצמו?</w:t>
      </w:r>
    </w:p>
    <w:p>
      <w:pPr>
        <w:bidi/>
        <w:spacing w:after="160" w:line="300" w:lineRule="auto"/>
        <w:jc w:val="right"/>
      </w:pPr>
      <w:r>
        <w:rPr>
          <w:rFonts w:ascii="David" w:cs="David" w:eastAsia="David" w:hAnsi="David"/>
          <w:sz w:val="26"/>
          <w:szCs w:val="26"/>
          <w:rtl/>
        </w:rPr>
        <w:t xml:space="preserve">הפסוק הפותח מערבב שתי לשונות בתוך שורה אחת: "ראה אנכי נתן לפניכם היום ברכה וקללה" (</w:t>
      </w:r>
      <w:r>
        <w:rPr>
          <w:rFonts w:ascii="David" w:cs="David" w:eastAsia="David" w:hAnsi="David"/>
          <w:b/>
          <w:bCs/>
          <w:color w:val="8B0000"/>
          <w:sz w:val="26"/>
          <w:szCs w:val="26"/>
          <w:rtl/>
        </w:rPr>
        <w:t xml:space="preserve">דברים יא, כו</w:t>
      </w:r>
      <w:r>
        <w:rPr>
          <w:rFonts w:ascii="David" w:cs="David" w:eastAsia="David" w:hAnsi="David"/>
          <w:sz w:val="26"/>
          <w:szCs w:val="26"/>
          <w:rtl/>
        </w:rPr>
        <w:t xml:space="preserve">). "ראה" נאמר ליחיד, ו"לפניכם" נאמר לרבים. ולכאורה היה על הכתוב לומר "ראו לפניכם" או "ראה לפניך" – אלא שהערבוב עצמו הוא כל התוכן, והוא בא ללמד יסוד בבחירה.</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הברכה והקללה מוצגות לכלל האומה, "לפניכם", אבל הראייה וההכרעה נעשות תמיד ביחיד. אף אחד לא בוחר בשבילך, ואי אפשר להתחבא בתוך הציבור. הדור כולו עומד מול אותה הצעה, אבל השאלה מה תעשה איתה מופנית אל אדם אחד – ואתה הוא האדם הזה.</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בלשון "ראה" ולא "שמע". שמיעה היא ידיעה מרחוק, ואפשר לשמוע דבר ולהישאר אדיש; ראייה היא ידיעה שנוגעת. משה אינו מבקש שנדע על קיומה של הברכה – הוא מבקש שנראה אותה כעומדת ממש לפנינו עכשיו, כדבר שאפשר לגעת בו ולבחור בו היום.</w:t>
      </w:r>
    </w:p>
    <w:p>
      <w:pPr>
        <w:bidi/>
        <w:spacing w:after="160" w:line="300" w:lineRule="auto"/>
        <w:jc w:val="right"/>
      </w:pPr>
      <w:r>
        <w:rPr>
          <w:rFonts w:ascii="David" w:cs="David" w:eastAsia="David" w:hAnsi="David"/>
          <w:sz w:val="26"/>
          <w:szCs w:val="26"/>
          <w:rtl/>
        </w:rPr>
        <w:t xml:space="preserve">ומדייק הכתוב "נתן לפניכם היום".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שהבחירה איננה אירוע היסטורי שאירע פעם אחת בערבות מואב, אלא מציאות מתחדשת. בכל יום מונחות מחדש שתי הדרכים לפני האדם, וכל יום הוא "היום" – ולכן אין אדם יכול לומר שכבר בחר בעבר ופטור מלבחור עכשיו.</w:t>
      </w:r>
    </w:p>
    <w:p>
      <w:pPr>
        <w:bidi/>
        <w:spacing w:after="160" w:line="300" w:lineRule="auto"/>
        <w:jc w:val="right"/>
      </w:pPr>
      <w:r>
        <w:rPr>
          <w:rFonts w:ascii="David" w:cs="David" w:eastAsia="David" w:hAnsi="David"/>
          <w:sz w:val="26"/>
          <w:szCs w:val="26"/>
          <w:rtl/>
        </w:rPr>
        <w:t xml:space="preserve">נמצא שהפסוק בנוי בדיוק כמו החיים עצמם: המציאות משותפת לכולנו, וההכרעה בתוכה היא לגמרי אישית. אותו מצב עצמו, אותה משפחה ואותה עבודה יכולים להיות ברכה לאחד וקללה לחברו – והמבדיל ביניהם הוא לא מה שהונח לפניהם, אלא מי מהם באמת עצר, הסתכל וראה את מה שעומד מולו.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החלטה שנראית לך שגרתית, עצור ושאל: מה מונח כאן לפני באמת. רוב הבחירות שלנו נעשות בלי לראות אותן, מתוך הרגל. עצם העצירה להסתכל היא כבר חצי מן הבחירה הנכונה.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יא, כו; הגר"א; המהר"ל מפראג; הרב מאיר אליהו</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הכתוב אומר "את הברכה אשר תשמעו" ו"והקללה אם לא תשמעו" – מדוע הברכה נאמרת בלשון ודאית והקללה בלשון "אם", והלוא שתיהן תלויות באותו תנאי בדיוק?</w:t>
      </w:r>
    </w:p>
    <w:p>
      <w:pPr>
        <w:bidi/>
        <w:spacing w:after="160" w:line="300" w:lineRule="auto"/>
        <w:jc w:val="right"/>
      </w:pPr>
      <w:r>
        <w:rPr>
          <w:rFonts w:ascii="David" w:cs="David" w:eastAsia="David" w:hAnsi="David"/>
          <w:sz w:val="26"/>
          <w:szCs w:val="26"/>
          <w:rtl/>
        </w:rPr>
        <w:t xml:space="preserve">דקדק הכתוב בלשונו: "את הברכה אשר תשמעו אל מצות ה' אלהיכם... והקללה אם לא תשמעו" (</w:t>
      </w:r>
      <w:r>
        <w:rPr>
          <w:rFonts w:ascii="David" w:cs="David" w:eastAsia="David" w:hAnsi="David"/>
          <w:b/>
          <w:bCs/>
          <w:color w:val="8B0000"/>
          <w:sz w:val="26"/>
          <w:szCs w:val="26"/>
          <w:rtl/>
        </w:rPr>
        <w:t xml:space="preserve">דברים יא, כז-כח</w:t>
      </w:r>
      <w:r>
        <w:rPr>
          <w:rFonts w:ascii="David" w:cs="David" w:eastAsia="David" w:hAnsi="David"/>
          <w:sz w:val="26"/>
          <w:szCs w:val="26"/>
          <w:rtl/>
        </w:rPr>
        <w:t xml:space="preserve">). הברכה נאמרת בלשון "אשר", כדבר ודאי וברור, והקללה נאמרת בלשון "אם", כדבר מסופק שאולי לא יקרה כלל. וההבדל הזה איננו סגנון בלבד אלא הודעה על יחסו של הקב"ה לשני הצדדים.</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שזו דרכה של תורה בכל מקום: הטוב הוא העיקר והמכוון, והרע הוא רק אפשרות שנפתחה כדי שתהיה בחירה. הקב"ה איננו מצפה לקללה ואיננו רוצה בה, ולכן היא נכתבת בלשון רופפת. הברכה היא הכוונה המקורית, והקללה היא רק מה שקורה כשהאדם מסיר את עצמו ממנה.</w:t>
      </w:r>
    </w:p>
    <w:p>
      <w:pPr>
        <w:bidi/>
        <w:spacing w:after="160" w:line="300" w:lineRule="auto"/>
        <w:jc w:val="right"/>
      </w:pPr>
      <w:r>
        <w:rPr>
          <w:rFonts w:ascii="David" w:cs="David" w:eastAsia="David" w:hAnsi="David"/>
          <w:sz w:val="26"/>
          <w:szCs w:val="26"/>
          <w:rtl/>
        </w:rPr>
        <w:t xml:space="preserve">ועוד דקדקו בלשון: בברכה נאמר "אשר תשמעו", ואילו בקללה נאמר "אם לא תשמעו... וסרתם מן הדרך". הרי שהקללה איננה נענשת על אי שמיעה בלבד – צריך גם "וסרתם", סטייה בפועל. אין הקב"ה ממהר להעניש על חולשה או על מעידה, אלא על פנייה מודעת אל דרך אחרת.</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באהבת ישראל הגדולה שלו שמידת הטוב מרובה תמיד על מידת הפורענות. חכמים לימדונו שמידה טובה מרובה ממידת פורענות, ולכן גם כאן: הברכה ודאית ומזומנת, והקללה תלויה ועומדת ומחכה שהאדם יסיר אותה מעליו בעצמו.</w:t>
      </w:r>
    </w:p>
    <w:p>
      <w:pPr>
        <w:bidi/>
        <w:spacing w:after="160" w:line="300" w:lineRule="auto"/>
        <w:jc w:val="right"/>
      </w:pPr>
      <w:r>
        <w:rPr>
          <w:rFonts w:ascii="David" w:cs="David" w:eastAsia="David" w:hAnsi="David"/>
          <w:sz w:val="26"/>
          <w:szCs w:val="26"/>
          <w:rtl/>
        </w:rPr>
        <w:t xml:space="preserve">נמצא שהפסוק מלמד לא רק דין אלא גם יחס. אדם נוטה לחשוב שהוא עומד מול מאזניים ניטרליות, שקל להיכשל בהן כשם שקל להצליח. באה התורה ומגלה שהמאזניים מוטות מראש לצד הברכה – והיא זו שממתינה לו כברירת המחדל של חייו, כל עוד לא בחר בעצמו ובמודע לסור ממנה.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תחיה בתחושה שאתה תמיד צעד אחד מפני נפילה. התורה מציגה את הברכה כוודאית ואת הרע כאפשרות רחוקה שדורשת שתפנה אליה ממש. תתחיל את היום מנקודת ההנחה שהטוב הוא ברירת המחדל שלך.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יא, כז-כח; הבן איש חי; מרן הרב עובדיה יוסף זצוק"ל</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התורה מצווה לבער עבודה זרה ומוסיפה "ואבדתם את שמם מן המקום ההוא" – מדוע לא די בהריסת המזבחות, ומה מוסיף מחיקת השם עצמו?</w:t>
      </w:r>
    </w:p>
    <w:p>
      <w:pPr>
        <w:bidi/>
        <w:spacing w:after="160" w:line="300" w:lineRule="auto"/>
        <w:jc w:val="right"/>
      </w:pPr>
      <w:r>
        <w:rPr>
          <w:rFonts w:ascii="David" w:cs="David" w:eastAsia="David" w:hAnsi="David"/>
          <w:sz w:val="26"/>
          <w:szCs w:val="26"/>
          <w:rtl/>
        </w:rPr>
        <w:t xml:space="preserve">הכתוב מפרט בעניין עבודה זרה: "אבד תאבדון את כל המקמות... ונתצתם את מזבחתם ושברתם את מצבתם... ואבדתם את שמם מן המקום ההוא" (</w:t>
      </w:r>
      <w:r>
        <w:rPr>
          <w:rFonts w:ascii="David" w:cs="David" w:eastAsia="David" w:hAnsi="David"/>
          <w:b/>
          <w:bCs/>
          <w:color w:val="8B0000"/>
          <w:sz w:val="26"/>
          <w:szCs w:val="26"/>
          <w:rtl/>
        </w:rPr>
        <w:t xml:space="preserve">דברים יב, ב-ג</w:t>
      </w:r>
      <w:r>
        <w:rPr>
          <w:rFonts w:ascii="David" w:cs="David" w:eastAsia="David" w:hAnsi="David"/>
          <w:sz w:val="26"/>
          <w:szCs w:val="26"/>
          <w:rtl/>
        </w:rPr>
        <w:t xml:space="preserve">). לא די בהריסת האבנים – התורה מצווה גם על מחיקת השם. ולכאורה מה חשיבות יש לשם, אחרי שהמזבח כבר נהרס ואיננו.</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שהשם הוא מה שמחזיק את הדבר בעולם גם אחרי שגופו נעלם. מזבח שנהרס עדיין יכול להיזכר, להיקרא על שמו ולהיבנות מחדש, כל עוד השם חי בפי הבריות. עקירה שלמה איננה עקירת החומר בלבד אלא עקירת הזיכרון, ולכן נדרש גם איבוד השם.</w:t>
      </w:r>
    </w:p>
    <w:p>
      <w:pPr>
        <w:bidi/>
        <w:spacing w:after="160" w:line="300" w:lineRule="auto"/>
        <w:jc w:val="right"/>
      </w:pPr>
      <w:r>
        <w:rPr>
          <w:rFonts w:ascii="David" w:cs="David" w:eastAsia="David" w:hAnsi="David"/>
          <w:sz w:val="26"/>
          <w:szCs w:val="26"/>
          <w:rtl/>
        </w:rPr>
        <w:t xml:space="preserve">והנה מיד לאחר מכן נאמר "לא תעשון כן לה' אלהיכם" (</w:t>
      </w:r>
      <w:r>
        <w:rPr>
          <w:rFonts w:ascii="David" w:cs="David" w:eastAsia="David" w:hAnsi="David"/>
          <w:b/>
          <w:bCs/>
          <w:color w:val="8B0000"/>
          <w:sz w:val="26"/>
          <w:szCs w:val="26"/>
          <w:rtl/>
        </w:rPr>
        <w:t xml:space="preserve">דברים יב, ד</w:t>
      </w:r>
      <w:r>
        <w:rPr>
          <w:rFonts w:ascii="David" w:cs="David" w:eastAsia="David" w:hAnsi="David"/>
          <w:sz w:val="26"/>
          <w:szCs w:val="26"/>
          <w:rtl/>
        </w:rPr>
        <w:t xml:space="preserve">), ודרשו חכמים אזהרה שלא למחוק שם משמים. הרי ששני הפסוקים כרוכים זה בזה: מה שאסור בתכלית האיסור כלפי הקודש – מחיקת שם – הוא בדיוק מה שנדרש כלפי עבודה זרה. השם הוא נקודת הכובד של הקדושה ושל ההפך ממנה כאחד.</w:t>
      </w:r>
    </w:p>
    <w:p>
      <w:pPr>
        <w:bidi/>
        <w:spacing w:after="160" w:line="300" w:lineRule="auto"/>
        <w:jc w:val="right"/>
      </w:pP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שהשם איננו תווית חיצונית אלא ביטוי למהות הדבר וחיותו.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שהשמות הם צינורות שדרכם עוברת ההשפעה – ולכן הריסת הצורה בלי מחיקת השם משאירה את הצינור פתוח, והדבר עלול לשוב ולהיבנות.</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את הצד המעשי שבדבר: יש הרגלים רעים שאדם נגמל מהם במעשה, אבל ממשיך לקרוא להם בשם יפה ולהצדיק אותם בפיו. כל עוד השם הישן קיים ונאמר בפה – הדבר לא נעקר באמת מן השורש, והוא ממתין בשקט להזדמנות לשוב.</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נפרד מהרגל רע, היזהר גם מן המילים שבהן אתה מתאר אותו. מי שקורא לכעס "ישרות" או לרכילות "לשתף" משאיר לעצמו פתח לחזור. עקירה אמיתית מתחילה בכך שקוראים לדבר בשמו הנכון.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יב, ב-ד; הרמב"ן על אתר; הזוהר הקדוש; כתבי האר"י מפי רבי חיים ויטאל;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התורה חוזרת שוב ושוב על "המקום אשר יבחר ה'" ואינה מגלה היכן הוא – מדוע נשמר שמה של ירושלים בסוד לאורך כל ספר דברים?</w:t>
      </w:r>
    </w:p>
    <w:p>
      <w:pPr>
        <w:bidi/>
        <w:spacing w:after="160" w:line="300" w:lineRule="auto"/>
        <w:jc w:val="right"/>
      </w:pPr>
      <w:r>
        <w:rPr>
          <w:rFonts w:ascii="David" w:cs="David" w:eastAsia="David" w:hAnsi="David"/>
          <w:sz w:val="26"/>
          <w:szCs w:val="26"/>
          <w:rtl/>
        </w:rPr>
        <w:t xml:space="preserve">הפרשה חוזרת פעם אחר פעם על אותה לשון סתומה: "כי אם אל המקום אשר יבחר ה' אלהיכם מכל שבטיכם לשום את שמו שם" (</w:t>
      </w:r>
      <w:r>
        <w:rPr>
          <w:rFonts w:ascii="David" w:cs="David" w:eastAsia="David" w:hAnsi="David"/>
          <w:b/>
          <w:bCs/>
          <w:color w:val="8B0000"/>
          <w:sz w:val="26"/>
          <w:szCs w:val="26"/>
          <w:rtl/>
        </w:rPr>
        <w:t xml:space="preserve">דברים יב, ה</w:t>
      </w:r>
      <w:r>
        <w:rPr>
          <w:rFonts w:ascii="David" w:cs="David" w:eastAsia="David" w:hAnsi="David"/>
          <w:sz w:val="26"/>
          <w:szCs w:val="26"/>
          <w:rtl/>
        </w:rPr>
        <w:t xml:space="preserve">). התורה מדברת בפירוט רב על הבאת הקרבנות אל המקום, אבל אינה מוסרת את שמו כלל. ירושלים אינה נזכרת בתורה בשמה אף לא פעם אחת.</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שהסתרת המקום נועדה למנוע מריבה בין השבטים. אילו היה שם המקום ידוע מראש, היה כל שבט נלחם שיהיה בנחלתו, והכניסה לארץ הייתה נפתחת במחלוקת על הקדושה עצמה. ההסתרה שמרה על השלום, עד שהמקום נתגלה בזמנו על ידי מלך ונביא.</w:t>
      </w:r>
    </w:p>
    <w:p>
      <w:pPr>
        <w:bidi/>
        <w:spacing w:after="160" w:line="300" w:lineRule="auto"/>
        <w:jc w:val="right"/>
      </w:pPr>
      <w:r>
        <w:rPr>
          <w:rFonts w:ascii="David" w:cs="David" w:eastAsia="David" w:hAnsi="David"/>
          <w:sz w:val="26"/>
          <w:szCs w:val="26"/>
          <w:rtl/>
        </w:rPr>
        <w:t xml:space="preserve">ועוד למדנו מכאן שהבחירה היא של הקב"ה ולא של האדם: "אשר יבחר ה'". אין הקדושה נקבעת לפי נוחות, לפי יופי הנוף או לפי כוחו של שבט.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שמקום המקדש הוא מרכז העולם מצד עצמו, ואין האדם עושה אותו קדוש אלא מגלה קדושה שכבר קיימת בו.</w:t>
      </w:r>
    </w:p>
    <w:p>
      <w:pPr>
        <w:bidi/>
        <w:spacing w:after="160" w:line="300" w:lineRule="auto"/>
        <w:jc w:val="right"/>
      </w:pPr>
      <w:r>
        <w:rPr>
          <w:rFonts w:ascii="David" w:cs="David" w:eastAsia="David" w:hAnsi="David"/>
          <w:sz w:val="26"/>
          <w:szCs w:val="26"/>
          <w:rtl/>
        </w:rPr>
        <w:t xml:space="preserve">והנה דווקא בפרשה זו נאמר "לשכנו תדרשו ובאת שמה" (</w:t>
      </w:r>
      <w:r>
        <w:rPr>
          <w:rFonts w:ascii="David" w:cs="David" w:eastAsia="David" w:hAnsi="David"/>
          <w:b/>
          <w:bCs/>
          <w:color w:val="8B0000"/>
          <w:sz w:val="26"/>
          <w:szCs w:val="26"/>
          <w:rtl/>
        </w:rPr>
        <w:t xml:space="preserve">דברים יב, ה</w:t>
      </w:r>
      <w:r>
        <w:rPr>
          <w:rFonts w:ascii="David" w:cs="David" w:eastAsia="David" w:hAnsi="David"/>
          <w:sz w:val="26"/>
          <w:szCs w:val="26"/>
          <w:rtl/>
        </w:rPr>
        <w:t xml:space="preserve">), ודרשו חכמים שיש לדרוש ולחפש את המקום. ההסתר לא בא כדי שנשב בחיבוק ידיים, אלא כדי שהמקום יידרש – שהכיסופים והחיפוש עצמם יהיו חלק בלתי נפרד מן הקשר אל המקום, ולא רק עצם ההגעה אליו בסופו של דבר.</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הלימוד לדורות: הדברים היקרים באמת אינם ניתנים כתובת מוכנה. הם נדרשים, מבוקשים ונבנים לאט. מקום שלא חיפשת אותו ולא השקעת בו – לא יהיה שלך באמת לעולם, וזו בדיוק הסיבה שהתורה השאירה את השם פתוח והפכה את עצם הדרישה למצווה בפני עצמה.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מה שקל למצוא לרוב גם קל לאבד. הדברים המשמעותיים בחיים – זוגיות, אמונה, מקצוע – נדרשים ונבנים ולא ניתנים מוכנים. אם משהו יקר לך דורש חיפוש, זה לא סימן שטעית בדרך.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יב, ה; הרמב"ן על אתר; המהר"ל מפראג; הרב אליהו עמר</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הפרשה מזהירה מפני נביא שנותן אות ומופת, ואומרת שגם אם האות התקיים אין לשמוע לו – אם המופת אכן קרה, מה בדיוק זה מוכיח, ולמה זה לא מספיק?</w:t>
      </w:r>
    </w:p>
    <w:p>
      <w:pPr>
        <w:bidi/>
        <w:spacing w:after="160" w:line="300" w:lineRule="auto"/>
        <w:jc w:val="right"/>
      </w:pPr>
      <w:r>
        <w:rPr>
          <w:rFonts w:ascii="David" w:cs="David" w:eastAsia="David" w:hAnsi="David"/>
          <w:sz w:val="26"/>
          <w:szCs w:val="26"/>
          <w:rtl/>
        </w:rPr>
        <w:t xml:space="preserve">הכתוב מציג מקרה מטריד: "כי יקום בקרבך נביא או חלם חלום ונתן אליך אות או מופת. ובא האות והמופת אשר דבר אליך לאמר נלכה אחרי אלהים אחרים... לא תשמע אל דברי הנביא ההוא" (</w:t>
      </w:r>
      <w:r>
        <w:rPr>
          <w:rFonts w:ascii="David" w:cs="David" w:eastAsia="David" w:hAnsi="David"/>
          <w:b/>
          <w:bCs/>
          <w:color w:val="8B0000"/>
          <w:sz w:val="26"/>
          <w:szCs w:val="26"/>
          <w:rtl/>
        </w:rPr>
        <w:t xml:space="preserve">דברים יג, ב-ד</w:t>
      </w:r>
      <w:r>
        <w:rPr>
          <w:rFonts w:ascii="David" w:cs="David" w:eastAsia="David" w:hAnsi="David"/>
          <w:sz w:val="26"/>
          <w:szCs w:val="26"/>
          <w:rtl/>
        </w:rPr>
        <w:t xml:space="preserve">). התורה אינה מכחישה שהמופת התרחש – ובכל זאת פוסקת שאין לו כל משקל.</w:t>
      </w:r>
    </w:p>
    <w:p>
      <w:pPr>
        <w:bidi/>
        <w:spacing w:after="160" w:line="300" w:lineRule="auto"/>
        <w:jc w:val="right"/>
      </w:pPr>
      <w:r>
        <w:rPr>
          <w:rFonts w:ascii="David" w:cs="David" w:eastAsia="David" w:hAnsi="David"/>
          <w:sz w:val="26"/>
          <w:szCs w:val="26"/>
          <w:rtl/>
        </w:rPr>
        <w:t xml:space="preserve">ומגלה הכתוב את הטעם: "כי מנסה ה' אלהיכם אתכם לדעת הישכם אהבים את ה' אלהיכם" (דברים יג, ד). המופת עצמו הוא הניסיון.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שהקב"ה נותן לפעמים כוח כזה בידי המסית דווקא כדי שתתברר האמונה – שלא תהיה תלויה במה שהעין רואה, אלא במה שהאדם יודע.</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שאמונה הנשענת על מופתים אינה אמונה אלא הסקת מסקנות מן החושים, ולכן היא בת חלוף. מי שהאמין בגלל מופת יאמין למי שיעשה מופת גדול יותר. יסודה של אמונת ישראל הוא מעמד הר סיני, שבו ראה העם בעצמו ולא הסתמך על עדותו של איש.</w:t>
      </w:r>
    </w:p>
    <w:p>
      <w:pPr>
        <w:bidi/>
        <w:spacing w:after="160" w:line="300" w:lineRule="auto"/>
        <w:jc w:val="right"/>
      </w:pPr>
      <w:r>
        <w:rPr>
          <w:rFonts w:ascii="David" w:cs="David" w:eastAsia="David" w:hAnsi="David"/>
          <w:sz w:val="26"/>
          <w:szCs w:val="26"/>
          <w:rtl/>
        </w:rPr>
        <w:t xml:space="preserve">ומכאן הכלל שלמדנו: מסר נמדד לפי תוכנו ולא לפי המופת שנלווה אליו.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שזו אזהרה חיה בכל דור – תמיד יימצא מי שיציג כוחות, הצלחות מרשימות או סימנים מפליאים כהוכחה לדרכו. התורה מלמדת לשאול קודם כל לאן הוא מוליך, ורק אחר כך להתפעל.</w:t>
      </w:r>
    </w:p>
    <w:p>
      <w:pPr>
        <w:bidi/>
        <w:spacing w:after="160" w:line="300" w:lineRule="auto"/>
        <w:jc w:val="right"/>
      </w:pPr>
      <w:r>
        <w:rPr>
          <w:rFonts w:ascii="David" w:cs="David" w:eastAsia="David" w:hAnsi="David"/>
          <w:sz w:val="26"/>
          <w:szCs w:val="26"/>
          <w:rtl/>
        </w:rPr>
        <w:t xml:space="preserve">והכתוב חותם "אחרי ה' אלהיכם תלכו ואתו תיראו ואת מצותיו תשמרו ובקלו תשמעו ואתו תעבדו ובו תדבקון" (</w:t>
      </w:r>
      <w:r>
        <w:rPr>
          <w:rFonts w:ascii="David" w:cs="David" w:eastAsia="David" w:hAnsi="David"/>
          <w:b/>
          <w:bCs/>
          <w:color w:val="8B0000"/>
          <w:sz w:val="26"/>
          <w:szCs w:val="26"/>
          <w:rtl/>
        </w:rPr>
        <w:t xml:space="preserve">דברים יג, ה</w:t>
      </w:r>
      <w:r>
        <w:rPr>
          <w:rFonts w:ascii="David" w:cs="David" w:eastAsia="David" w:hAnsi="David"/>
          <w:sz w:val="26"/>
          <w:szCs w:val="26"/>
          <w:rtl/>
        </w:rPr>
        <w:t xml:space="preserve">). מול המופת המרשים מציבה התורה רשימה של דברים פשוטים ויומיומיים. הדבקות אינה נבחנת ברגע דרמטי אחד, אלא בשמירה ובשמיעה שנמשכות לאורך כל החיים.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תיתן לרושם החיצוני להכריע בשבילך. אדם מרשים, הצלחה מסחררת או סיפור מופלא אינם ראיה שהדרך נכונה. שאל תמיד לאן זה מוליך – התוכן קובע, לא האפקט.</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יג, ב-ה; הרמב"ן על אתר; המהר"ל מפראג; הרב אליהו עמר</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"בנים אתם לה' אלהיכם" נאמר דווקא בפתח דיני האבלות והמאכלות – מה עושה הכרזה כה גדולה על מעמדנו במקום כזה?</w:t>
      </w:r>
    </w:p>
    <w:p>
      <w:pPr>
        <w:bidi/>
        <w:spacing w:after="160" w:line="300" w:lineRule="auto"/>
        <w:jc w:val="right"/>
      </w:pPr>
      <w:r>
        <w:rPr>
          <w:rFonts w:ascii="David" w:cs="David" w:eastAsia="David" w:hAnsi="David"/>
          <w:sz w:val="26"/>
          <w:szCs w:val="26"/>
          <w:rtl/>
        </w:rPr>
        <w:t xml:space="preserve">הכתוב פותח פרשה חדשה בהכרזה: "בנים אתם לה' אלהיכם לא תתגדדו ולא תשימו קרחה בין עיניכם למת" (</w:t>
      </w:r>
      <w:r>
        <w:rPr>
          <w:rFonts w:ascii="David" w:cs="David" w:eastAsia="David" w:hAnsi="David"/>
          <w:b/>
          <w:bCs/>
          <w:color w:val="8B0000"/>
          <w:sz w:val="26"/>
          <w:szCs w:val="26"/>
          <w:rtl/>
        </w:rPr>
        <w:t xml:space="preserve">דברים יד, א</w:t>
      </w:r>
      <w:r>
        <w:rPr>
          <w:rFonts w:ascii="David" w:cs="David" w:eastAsia="David" w:hAnsi="David"/>
          <w:sz w:val="26"/>
          <w:szCs w:val="26"/>
          <w:rtl/>
        </w:rPr>
        <w:t xml:space="preserve">). ומיד אחריה: "כי עם קדוש אתה לה' אלהיך" (</w:t>
      </w:r>
      <w:r>
        <w:rPr>
          <w:rFonts w:ascii="David" w:cs="David" w:eastAsia="David" w:hAnsi="David"/>
          <w:b/>
          <w:bCs/>
          <w:color w:val="8B0000"/>
          <w:sz w:val="26"/>
          <w:szCs w:val="26"/>
          <w:rtl/>
        </w:rPr>
        <w:t xml:space="preserve">דברים יד, ב</w:t>
      </w:r>
      <w:r>
        <w:rPr>
          <w:rFonts w:ascii="David" w:cs="David" w:eastAsia="David" w:hAnsi="David"/>
          <w:sz w:val="26"/>
          <w:szCs w:val="26"/>
          <w:rtl/>
        </w:rPr>
        <w:t xml:space="preserve">), ואז באים דיני המאכלות המותרים והאסורים. הסמיכות מפתיעה – מדוע ההכרזה על הבנים באה כאן.</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בחום: התורה אינה אוסרת את הגדידה מפני שהאבל אסור, חלילה, אלא מפני שיש גבול לצער. בן שיודע שיש לו אב איננו מאבד את עצמו מרוב כאב, מפני שהוא יודע שגם מה שקרה לא הוציא אותו מן היד המחזיקה אותו. האיסור הוא בעצם נחמה שנכתבה כדין.</w:t>
      </w:r>
    </w:p>
    <w:p>
      <w:pPr>
        <w:bidi/>
        <w:spacing w:after="160" w:line="300" w:lineRule="auto"/>
        <w:jc w:val="right"/>
      </w:pPr>
      <w:r>
        <w:rPr>
          <w:rFonts w:ascii="David" w:cs="David" w:eastAsia="David" w:hAnsi="David"/>
          <w:sz w:val="26"/>
          <w:szCs w:val="26"/>
          <w:rtl/>
        </w:rPr>
        <w:t xml:space="preserve">ולכן נסמכה מיד לאחר מכן "כי עם קדוש אתה".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ששתי ההגדרות משלימות זו את זו: "בנים" הוא הקשר שאינו תלוי במעשה ואינו ניתן לביטול, ו"עם קדוש" הוא התביעה שהמעשים יתאימו לקשר הזה. האהבה נתונה מראש, וההתנהגות היא מה שנדרש להתאים אליה.</w:t>
      </w:r>
    </w:p>
    <w:p>
      <w:pPr>
        <w:bidi/>
        <w:spacing w:after="160" w:line="300" w:lineRule="auto"/>
        <w:jc w:val="right"/>
      </w:pPr>
      <w:r>
        <w:rPr>
          <w:rFonts w:ascii="David" w:cs="David" w:eastAsia="David" w:hAnsi="David"/>
          <w:sz w:val="26"/>
          <w:szCs w:val="26"/>
          <w:rtl/>
        </w:rPr>
        <w:t xml:space="preserve">ומכאן גם הסמיכות לדיני המאכלות.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שהכשרות איננה רשימת הגבלות אלא שמירה על מי שאתה. בן מלך אינו אוכל מכל דבר לא מפני שנאסר עליו ליהנות, אלא מפני שיש דברים שאינם הולמים את מי שהוא – והזהות היא שקובעת את הגבול.</w:t>
      </w:r>
    </w:p>
    <w:p>
      <w:pPr>
        <w:bidi/>
        <w:spacing w:after="160" w:line="300" w:lineRule="auto"/>
        <w:jc w:val="right"/>
      </w:pPr>
      <w:r>
        <w:rPr>
          <w:rFonts w:ascii="David" w:cs="David" w:eastAsia="David" w:hAnsi="David"/>
          <w:sz w:val="26"/>
          <w:szCs w:val="26"/>
          <w:rtl/>
        </w:rPr>
        <w:t xml:space="preserve">נמצא שהפסוק הזה הוא הכותרת של כל מה שבא אחריו. לפני שהתורה מפרטת מה מותר ומה אסור, היא מקדימה ואומרת מי אנחנו. מי שיודע שהוא בן, מקבל את הכללים כשייכים לו ומבטאים את מי שהוא, ולא כנטל שנכפה עליו מבחוץ – וזה בדיוק ההבדל שבין עבד המקיים מפני שהוא מוכרח, לבין בן.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כשקשה לך לעמוד בכלל שקיבלת על עצמך, אל תתחיל מן הכלל – תתחיל מן הזהות. אדם ששוכח מי הוא רואה בכל דרישה נטל; אדם שזוכר מי הוא רואה בה ביטוי טבעי של עצמו.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יד, א-ב; הרב מאיר אליהו;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התורה מצווה "עשר תעשר את כל תבואת זרעך" – ודרשו חכמים "עשר בשביל שתתעשר". איך מתיישבת הבטחת עושר עם האיסור לנסות את הקב"ה?</w:t>
      </w:r>
    </w:p>
    <w:p>
      <w:pPr>
        <w:bidi/>
        <w:spacing w:after="160" w:line="300" w:lineRule="auto"/>
        <w:jc w:val="right"/>
      </w:pPr>
      <w:r>
        <w:rPr>
          <w:rFonts w:ascii="David" w:cs="David" w:eastAsia="David" w:hAnsi="David"/>
          <w:sz w:val="26"/>
          <w:szCs w:val="26"/>
          <w:rtl/>
        </w:rPr>
        <w:t xml:space="preserve">הכתוב מצווה "עשר תעשר את כל תבואת זרעך היצא השדה שנה שנה" (</w:t>
      </w:r>
      <w:r>
        <w:rPr>
          <w:rFonts w:ascii="David" w:cs="David" w:eastAsia="David" w:hAnsi="David"/>
          <w:b/>
          <w:bCs/>
          <w:color w:val="8B0000"/>
          <w:sz w:val="26"/>
          <w:szCs w:val="26"/>
          <w:rtl/>
        </w:rPr>
        <w:t xml:space="preserve">דברים יד, כב</w:t>
      </w:r>
      <w:r>
        <w:rPr>
          <w:rFonts w:ascii="David" w:cs="David" w:eastAsia="David" w:hAnsi="David"/>
          <w:sz w:val="26"/>
          <w:szCs w:val="26"/>
          <w:rtl/>
        </w:rPr>
        <w:t xml:space="preserve">), ודרשו חכמים מכפל הלשון "עשר תעשר" – עשר בשביל שתתעשר. וזה תמוה: הרי התורה עצמה אוסרת "לא תנסו את ה' אלהיכם", ואיך אפשר לתת צדקה על מנת לקבל ולראות אם יקוים.</w:t>
      </w:r>
    </w:p>
    <w:p>
      <w:pPr>
        <w:bidi/>
        <w:spacing w:after="160" w:line="300" w:lineRule="auto"/>
        <w:jc w:val="right"/>
      </w:pPr>
      <w:r>
        <w:rPr>
          <w:rFonts w:ascii="David" w:cs="David" w:eastAsia="David" w:hAnsi="David"/>
          <w:b/>
          <w:bCs/>
          <w:color w:val="8B0000"/>
          <w:sz w:val="26"/>
          <w:szCs w:val="26"/>
          <w:rtl/>
        </w:rPr>
        <w:t xml:space="preserve">הגמרא במסכת תענית</w:t>
      </w:r>
      <w:r>
        <w:rPr>
          <w:rFonts w:ascii="David" w:cs="David" w:eastAsia="David" w:hAnsi="David"/>
          <w:sz w:val="26"/>
          <w:szCs w:val="26"/>
          <w:rtl/>
        </w:rPr>
        <w:t xml:space="preserve"> משיבה על כך במפורש, שמעשר הוא היוצא מן הכלל שבו מותר לנסות את הקב"ה, שנאמר "ובחנוני נא בזאת אמר ה' צבאות אם לא אפתח לכם את ארבות השמים".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שזה היתר מפורש ולא הנהגה של חסידות בלבד, ושייך דווקא בצדקה ובמעשרות.</w:t>
      </w:r>
    </w:p>
    <w:p>
      <w:pPr>
        <w:bidi/>
        <w:spacing w:after="160" w:line="300" w:lineRule="auto"/>
        <w:jc w:val="right"/>
      </w:pPr>
      <w:r>
        <w:rPr>
          <w:rFonts w:ascii="David" w:cs="David" w:eastAsia="David" w:hAnsi="David"/>
          <w:sz w:val="26"/>
          <w:szCs w:val="26"/>
          <w:rtl/>
        </w:rPr>
        <w:t xml:space="preserve">ומדוע דווקא כאן הותר?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שהמעשר הוא הניסיון החד ביותר של האמונה בפרנסה. אדם יכול להאמין בהרבה דברים, אבל כשהוא מוציא מכיסו חלק ממה שהרוויח בעמל – שם נבחנת אמונתו במי שנותן. לכן דווקא בנקודה הזאת פתח לו הקב"ה פתח לראות בעיניו.</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שהנתינה עצמה היא שפותחת את הצינור. כל עוד אדם אוחז בכל מה שיש לו בכוח, ידו סגורה – וכלי סגור אינו יכול להתמלא. וכשהוא נותן ופותח את היד, הוא הופך את עצמו לצינור שהשפע עובר דרכו והלאה, ולא לכיס סגור שהשפע נעצר בתוכו ונאגר.</w:t>
      </w:r>
    </w:p>
    <w:p>
      <w:pPr>
        <w:bidi/>
        <w:spacing w:after="160" w:line="300" w:lineRule="auto"/>
        <w:jc w:val="right"/>
      </w:pPr>
      <w:r>
        <w:rPr>
          <w:rFonts w:ascii="David" w:cs="David" w:eastAsia="David" w:hAnsi="David"/>
          <w:sz w:val="26"/>
          <w:szCs w:val="26"/>
          <w:rtl/>
        </w:rPr>
        <w:t xml:space="preserve">ולכן סמכה התורה למעשרות את "פתח תפתח את ידך" (</w:t>
      </w:r>
      <w:r>
        <w:rPr>
          <w:rFonts w:ascii="David" w:cs="David" w:eastAsia="David" w:hAnsi="David"/>
          <w:b/>
          <w:bCs/>
          <w:color w:val="8B0000"/>
          <w:sz w:val="26"/>
          <w:szCs w:val="26"/>
          <w:rtl/>
        </w:rPr>
        <w:t xml:space="preserve">דברים טו, ח</w:t>
      </w:r>
      <w:r>
        <w:rPr>
          <w:rFonts w:ascii="David" w:cs="David" w:eastAsia="David" w:hAnsi="David"/>
          <w:sz w:val="26"/>
          <w:szCs w:val="26"/>
          <w:rtl/>
        </w:rPr>
        <w:t xml:space="preserve">) ואת האזהרה "ולא ירע לבבך בתתך לו" (דברים טו, י). לא די בנתינה במעשה – התורה מבקשת גם שהלב לא יצר. הכתוב מלמד שהמידה נמדדת לא רק בסכום שיצא מן היד, אלא בשמחה שנשארה בלב אחריו.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נסה החודש להפריש סכום קבוע לצדקה עוד לפני שאתה מחשב את ההוצאות. מי שנותן ממה שנשאר לו לעולם אינו מוצא מספיק; מי שקובע את הנתינה מראש מגלה שדווקא אז נשאר לו.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יד, כב; הגמרא במסכת תענית; מרן הרב עובדיה יוסף זצוק"ל; הרב אליהו עמר; הבן איש חי; דברים טו, ח-י</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התורה מבטיחה "אפס כי לא יהיה בך אביון" ואומרת גם "כי לא יחדל אביון מקרב הארץ" – שתי ההבטחות בפרק אחד, ואיך הן מתיישבות זו עם זו?</w:t>
      </w:r>
    </w:p>
    <w:p>
      <w:pPr>
        <w:bidi/>
        <w:spacing w:after="160" w:line="300" w:lineRule="auto"/>
        <w:jc w:val="right"/>
      </w:pPr>
      <w:r>
        <w:rPr>
          <w:rFonts w:ascii="David" w:cs="David" w:eastAsia="David" w:hAnsi="David"/>
          <w:sz w:val="26"/>
          <w:szCs w:val="26"/>
          <w:rtl/>
        </w:rPr>
        <w:t xml:space="preserve">בפרק אחד נאמרים שני דברים הנראים סותרים. תחילה "אפס כי לא יהיה בך אביון כי ברך יברכך ה'" (</w:t>
      </w:r>
      <w:r>
        <w:rPr>
          <w:rFonts w:ascii="David" w:cs="David" w:eastAsia="David" w:hAnsi="David"/>
          <w:b/>
          <w:bCs/>
          <w:color w:val="8B0000"/>
          <w:sz w:val="26"/>
          <w:szCs w:val="26"/>
          <w:rtl/>
        </w:rPr>
        <w:t xml:space="preserve">דברים טו, ד</w:t>
      </w:r>
      <w:r>
        <w:rPr>
          <w:rFonts w:ascii="David" w:cs="David" w:eastAsia="David" w:hAnsi="David"/>
          <w:sz w:val="26"/>
          <w:szCs w:val="26"/>
          <w:rtl/>
        </w:rPr>
        <w:t xml:space="preserve">), ואחר כך "כי לא יחדל אביון מקרב הארץ על כן אנכי מצוך לאמר פתח תפתח את ידך לאחיך לעניך ולאבינך" (</w:t>
      </w:r>
      <w:r>
        <w:rPr>
          <w:rFonts w:ascii="David" w:cs="David" w:eastAsia="David" w:hAnsi="David"/>
          <w:b/>
          <w:bCs/>
          <w:color w:val="8B0000"/>
          <w:sz w:val="26"/>
          <w:szCs w:val="26"/>
          <w:rtl/>
        </w:rPr>
        <w:t xml:space="preserve">דברים טו, יא</w:t>
      </w:r>
      <w:r>
        <w:rPr>
          <w:rFonts w:ascii="David" w:cs="David" w:eastAsia="David" w:hAnsi="David"/>
          <w:sz w:val="26"/>
          <w:szCs w:val="26"/>
          <w:rtl/>
        </w:rPr>
        <w:t xml:space="preserve">). האם יהיו עניים בישראל או לא יהיו.</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שאין כאן סתירה אלא תנאי. הפסוק הראשון תולה את ההבטחה במפורש: "רק אם שמוע תשמע בקול ה' אלהיך" (</w:t>
      </w:r>
      <w:r>
        <w:rPr>
          <w:rFonts w:ascii="David" w:cs="David" w:eastAsia="David" w:hAnsi="David"/>
          <w:b/>
          <w:bCs/>
          <w:color w:val="8B0000"/>
          <w:sz w:val="26"/>
          <w:szCs w:val="26"/>
          <w:rtl/>
        </w:rPr>
        <w:t xml:space="preserve">דברים טו, ה</w:t>
      </w:r>
      <w:r>
        <w:rPr>
          <w:rFonts w:ascii="David" w:cs="David" w:eastAsia="David" w:hAnsi="David"/>
          <w:sz w:val="26"/>
          <w:szCs w:val="26"/>
          <w:rtl/>
        </w:rPr>
        <w:t xml:space="preserve">). עולם שבו נשמעת התורה כולה הוא עולם בלי אביונים, וזו התכלית; והפסוק השני מדבר על המציאות כפי שהיא בפועל, כל עוד לא הגענו לשם.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שהעוני איננו גזרת טבע אלא תוצאה של חברה. כשהנתינה מתקיימת כראוי – היד הפתוחה של האחד סוגרת את חסרונו של האחר, ונמצא שהאביון אינו חדל מן העולם אלא מפסיק להיות אביון. התורה אינה מתארת גורל, היא מתארת אחריות.</w:t>
      </w:r>
    </w:p>
    <w:p>
      <w:pPr>
        <w:bidi/>
        <w:spacing w:after="160" w:line="300" w:lineRule="auto"/>
        <w:jc w:val="right"/>
      </w:pPr>
      <w:r>
        <w:rPr>
          <w:rFonts w:ascii="David" w:cs="David" w:eastAsia="David" w:hAnsi="David"/>
          <w:sz w:val="26"/>
          <w:szCs w:val="26"/>
          <w:rtl/>
        </w:rPr>
        <w:t xml:space="preserve">ולכן דווקא הפסוק שמודה שהעוני לא יחדל הוא זה שממנו נלמדת מצוות הצדקה: "על כן אנכי מצוך".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שאין הכתוב אומר שהעוני נגזר ולכן אין טעם לנסות, אלא ההפך – מכיוון שהוא קיים, יש לך תפקיד. ההודאה במציאות היא בדיוק מה שמוליד את הציווי.</w:t>
      </w:r>
    </w:p>
    <w:p>
      <w:pPr>
        <w:bidi/>
        <w:spacing w:after="160" w:line="300" w:lineRule="auto"/>
        <w:jc w:val="right"/>
      </w:pPr>
      <w:r>
        <w:rPr>
          <w:rFonts w:ascii="David" w:cs="David" w:eastAsia="David" w:hAnsi="David"/>
          <w:sz w:val="26"/>
          <w:szCs w:val="26"/>
          <w:rtl/>
        </w:rPr>
        <w:t xml:space="preserve">נמצא ששני הפסוקים הם שתי קומות של אותו רעיון: זו התכלית שאליה יש לשאוף, וזו העבודה שיש לעשות בינתיים. אדם שמסתכל רק על הראשון יתייאש ברגע שיראה עוני סביבו, ואדם שמסתכל רק על השני יתרגל אליו ויחדל להתאמץ. התורה מבקשת מאיתנו להחזיק את שניהם יחד בבת אחת.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תמתין למצב שבו תוכל לפתור את הבעיה כולה. העוני לא ייעלם בזכות אדם אחד, אבל אדם אחד יכול להוציא מן העוני משפחה אחת. התכלית רחוקה – והתפקיד שלך מונח כאן ועכשיו.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טו, ד-יא; הרמב"ן על אתר; המהר"ל מפראג; הרב מאיר אליהו</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התורה מזהירה מפני מחשבה "קרבה שנת השבע שנת השמטה ורעה עינך באחיך האביון" – מדוע נקראת מחשבה זו "בליעל", והרי היא חשבון כלכלי הגיוני לגמרי?</w:t>
      </w:r>
    </w:p>
    <w:p>
      <w:pPr>
        <w:bidi/>
        <w:spacing w:after="160" w:line="300" w:lineRule="auto"/>
        <w:jc w:val="right"/>
      </w:pPr>
      <w:r>
        <w:rPr>
          <w:rFonts w:ascii="David" w:cs="David" w:eastAsia="David" w:hAnsi="David"/>
          <w:sz w:val="26"/>
          <w:szCs w:val="26"/>
          <w:rtl/>
        </w:rPr>
        <w:t xml:space="preserve">הכתוב מזהיר: "השמר לך פן יהיה דבר עם לבבך בליעל לאמר קרבה שנת השבע שנת השמטה ורעה עינך באחיך האביון ולא תתן לו" (</w:t>
      </w:r>
      <w:r>
        <w:rPr>
          <w:rFonts w:ascii="David" w:cs="David" w:eastAsia="David" w:hAnsi="David"/>
          <w:b/>
          <w:bCs/>
          <w:color w:val="8B0000"/>
          <w:sz w:val="26"/>
          <w:szCs w:val="26"/>
          <w:rtl/>
        </w:rPr>
        <w:t xml:space="preserve">דברים טו, ט</w:t>
      </w:r>
      <w:r>
        <w:rPr>
          <w:rFonts w:ascii="David" w:cs="David" w:eastAsia="David" w:hAnsi="David"/>
          <w:sz w:val="26"/>
          <w:szCs w:val="26"/>
          <w:rtl/>
        </w:rPr>
        <w:t xml:space="preserve">). אדם רואה ששנת השמיטה מתקרבת והחוב עומד להישמט, ולכן נמנע מלהלוות. מבחינה מסחרית זהו שיקול סביר – והתורה קוראת לו בליעל.</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בלשון "דבר עם לבבך בליעל" – התורה אינה מדברת על מעשה אלא על שיחה פנימית. האדם עוד לא סירב, הוא רק חישב. אלא שהחשבון הזה עצמו הוא הנקודה: ברגע שהלב מתחיל לחשב מתי כדאי לתת ומתי לא, כבר נפגמה הנתינה, גם אם בסוף היד תיפתח.</w:t>
      </w:r>
    </w:p>
    <w:p>
      <w:pPr>
        <w:bidi/>
        <w:spacing w:after="160" w:line="300" w:lineRule="auto"/>
        <w:jc w:val="right"/>
      </w:pPr>
      <w:r>
        <w:rPr>
          <w:rFonts w:ascii="David" w:cs="David" w:eastAsia="David" w:hAnsi="David"/>
          <w:sz w:val="26"/>
          <w:szCs w:val="26"/>
          <w:rtl/>
        </w:rPr>
        <w:t xml:space="preserve">ומה בדיוק המילה "בליעל"? דרשו חכמים בלי עול.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הנימוק נשמע ענייני, אבל מתחתיו מסתתרת פריקת עול. האדם משתמש בהלכה עצמה – בדין השמיטה שהתורה נתנה – כדי להיפטר מן החובה שהתורה הטילה עליו. אין דבר מסוכן יותר מחשבון שנראה כשר לגמרי.</w:t>
      </w:r>
    </w:p>
    <w:p>
      <w:pPr>
        <w:bidi/>
        <w:spacing w:after="160" w:line="300" w:lineRule="auto"/>
        <w:jc w:val="right"/>
      </w:pPr>
      <w:r>
        <w:rPr>
          <w:rFonts w:ascii="David" w:cs="David" w:eastAsia="David" w:hAnsi="David"/>
          <w:sz w:val="26"/>
          <w:szCs w:val="26"/>
          <w:rtl/>
        </w:rPr>
        <w:t xml:space="preserve">ומיד מוסיף הכתוב "וקרא עליך אל ה' והיה בך חטא" (</w:t>
      </w:r>
      <w:r>
        <w:rPr>
          <w:rFonts w:ascii="David" w:cs="David" w:eastAsia="David" w:hAnsi="David"/>
          <w:b/>
          <w:bCs/>
          <w:color w:val="8B0000"/>
          <w:sz w:val="26"/>
          <w:szCs w:val="26"/>
          <w:rtl/>
        </w:rPr>
        <w:t xml:space="preserve">דברים טו, ט</w:t>
      </w:r>
      <w:r>
        <w:rPr>
          <w:rFonts w:ascii="David" w:cs="David" w:eastAsia="David" w:hAnsi="David"/>
          <w:sz w:val="26"/>
          <w:szCs w:val="26"/>
          <w:rtl/>
        </w:rPr>
        <w:t xml:space="preserve">).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שהתורה נותנת כאן משקל לזעקת העני – היא נשמעת למעלה גם כשהסירוב היה מנומק היטב ומנוסח יפה. החשבון של הנותן אינו מבטל את הכאב של המבקש.</w:t>
      </w:r>
    </w:p>
    <w:p>
      <w:pPr>
        <w:bidi/>
        <w:spacing w:after="160" w:line="300" w:lineRule="auto"/>
        <w:jc w:val="right"/>
      </w:pPr>
      <w:r>
        <w:rPr>
          <w:rFonts w:ascii="David" w:cs="David" w:eastAsia="David" w:hAnsi="David"/>
          <w:sz w:val="26"/>
          <w:szCs w:val="26"/>
          <w:rtl/>
        </w:rPr>
        <w:t xml:space="preserve">ולכן חותם הכתוב "נתון תתן לו ולא ירע לבבך בתתך לו כי בגלל הדבר הזה יברכך ה' אלהיך" (</w:t>
      </w:r>
      <w:r>
        <w:rPr>
          <w:rFonts w:ascii="David" w:cs="David" w:eastAsia="David" w:hAnsi="David"/>
          <w:b/>
          <w:bCs/>
          <w:color w:val="8B0000"/>
          <w:sz w:val="26"/>
          <w:szCs w:val="26"/>
          <w:rtl/>
        </w:rPr>
        <w:t xml:space="preserve">דברים טו, י</w:t>
      </w:r>
      <w:r>
        <w:rPr>
          <w:rFonts w:ascii="David" w:cs="David" w:eastAsia="David" w:hAnsi="David"/>
          <w:sz w:val="26"/>
          <w:szCs w:val="26"/>
          <w:rtl/>
        </w:rPr>
        <w:t xml:space="preserve">). התרופה למחשבת בליעל אינה נתינה גדולה יותר אלא נתינה בלב שלם. מי שנותן בלב רע כבר שילם את הכסף ולא קנה את המצווה, ומי שנותן בשמחה קנה את שתיהן.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מוצא לעצמך נימוק טוב לא לעזור, עצור ובדוק אם זה באמת שיקול או רק תירוץ מהוגן. החשבון שנשמע הכי הגיוני הוא בדיוק זה שכדאי לבדוק פעמיים – ולתת בכל זאת.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טו, ט-י; הגר"א; הרב מאיר אליהו; מרן הרב עובדיה יוסף זצוק"ל</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בעבד עברי שאינו רוצה לצאת לחופשי מצווה התורה לרצוע את אוזנו דווקא – מדוע נבחרה האוזן, ומה היא עשתה שמגיע לה סימן לכל החיים?</w:t>
      </w:r>
    </w:p>
    <w:p>
      <w:pPr>
        <w:bidi/>
        <w:spacing w:after="160" w:line="300" w:lineRule="auto"/>
        <w:jc w:val="right"/>
      </w:pPr>
      <w:r>
        <w:rPr>
          <w:rFonts w:ascii="David" w:cs="David" w:eastAsia="David" w:hAnsi="David"/>
          <w:sz w:val="26"/>
          <w:szCs w:val="26"/>
          <w:rtl/>
        </w:rPr>
        <w:t xml:space="preserve">הכתוב מצווה: "והיה כי יאמר אליך לא אצא מעמך כי אהבך ואת ביתך... ולקחת את המרצע ונתתה באזנו ובדלת והיה לך עבד עולם" (</w:t>
      </w:r>
      <w:r>
        <w:rPr>
          <w:rFonts w:ascii="David" w:cs="David" w:eastAsia="David" w:hAnsi="David"/>
          <w:b/>
          <w:bCs/>
          <w:color w:val="8B0000"/>
          <w:sz w:val="26"/>
          <w:szCs w:val="26"/>
          <w:rtl/>
        </w:rPr>
        <w:t xml:space="preserve">דברים טו, טז-יז</w:t>
      </w:r>
      <w:r>
        <w:rPr>
          <w:rFonts w:ascii="David" w:cs="David" w:eastAsia="David" w:hAnsi="David"/>
          <w:sz w:val="26"/>
          <w:szCs w:val="26"/>
          <w:rtl/>
        </w:rPr>
        <w:t xml:space="preserve">). האיש הזה לא חטא, לא גנב ולא הזיק לאיש – הוא רק ביקש להישאר במקום שנוח לו בו. ובכל זאת התורה קובעת בגופו סימן קבוע לכל החיים, ודווקא באוזן.</w:t>
      </w:r>
    </w:p>
    <w:p>
      <w:pPr>
        <w:bidi/>
        <w:spacing w:after="160" w:line="300" w:lineRule="auto"/>
        <w:jc w:val="right"/>
      </w:pPr>
      <w:r>
        <w:rPr>
          <w:rFonts w:ascii="David" w:cs="David" w:eastAsia="David" w:hAnsi="David"/>
          <w:sz w:val="26"/>
          <w:szCs w:val="26"/>
          <w:rtl/>
        </w:rPr>
        <w:t xml:space="preserve">דרשו חכמים בטעם הדבר: אוזן ששמעה על הר סיני "כי לי בני ישראל עבדים" והלכה וקנתה לעצמה אדון אחר – תירצע.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זה עונש על עצם העבדות אלא על השכחה שבה: האוזן הזאת שמעה את האמת בבירור גמור ובלי שום ספק, ובחרה מרצונה להעדיף עליה את הנוחות.</w:t>
      </w:r>
    </w:p>
    <w:p>
      <w:pPr>
        <w:bidi/>
        <w:spacing w:after="160" w:line="300" w:lineRule="auto"/>
        <w:jc w:val="right"/>
      </w:pPr>
      <w:r>
        <w:rPr>
          <w:rFonts w:ascii="David" w:cs="David" w:eastAsia="David" w:hAnsi="David"/>
          <w:sz w:val="26"/>
          <w:szCs w:val="26"/>
          <w:rtl/>
        </w:rPr>
        <w:t xml:space="preserve">ומדוע דווקא "אל הדלת או אל המזוזה"?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שהדלת היא סמל היציאה והמעבר. אדם שעומד בפתח הפתוח לרווחה ובוחר שלא לצאת דרכו – נרצע דווקא שם, במקום שבו הייתה החירות מונחת ממש בהישג ידו. הסימן נקבע בדיוק בנקודה שבה הוא ויתר עליה מרצונו החופשי.</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הצד המוכר: יש אנשים שהדלת פתוחה לפניהם – אפשר לצאת מן ההרגל, מן העבודה השוחקת, מן היחס הפוגע – והם בוחרים להישאר מפני שכבר התרגלו. הפחד מן החופש גדול לפעמים מן הסבל עצמו, וזו בדיוק העבדות שהתורה מבקשת שנשים לב אליה.</w:t>
      </w:r>
    </w:p>
    <w:p>
      <w:pPr>
        <w:bidi/>
        <w:spacing w:after="160" w:line="300" w:lineRule="auto"/>
        <w:jc w:val="right"/>
      </w:pPr>
      <w:r>
        <w:rPr>
          <w:rFonts w:ascii="David" w:cs="David" w:eastAsia="David" w:hAnsi="David"/>
          <w:sz w:val="26"/>
          <w:szCs w:val="26"/>
          <w:rtl/>
        </w:rPr>
        <w:t xml:space="preserve">ולכן נאמר בו "והיה לך עבד עולם", ודרשו חכמים שאין זה לעולם ממש אלא עד היובל. גם מי שבחר בעבדות – התורה אינה מניחה לו להישאר בה לנצח. היובל בא בבוא זמנו ומוציא אותו לחופשי בעל כורחו, ללמד שהחירות היא עצם מהותו של אדם מישראל, גם כשהוא עצמו כבר התייאש ממנה וויתר עליה.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בדוק אם יש בחייך דלת פתוחה שאתה לא יוצא ממנה רק מפני שהתרגלת. אנשים נשארים לפעמים במקום שכבר לא טוב להם, לא מפני שאין להם ברירה, אלא מפני שהברירה מפחידה.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טו, טז-יז; הבן איש חי; המהר"ל מפראג; הרב אליהו עמר</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התורה מצווה על שמחה ברגל ומפרטת "אתה ובנך ובתך... והגר והיתום והאלמנה אשר בשעריך" – מדוע נכללת רשימת הנצרכים בתוך מצוות השמחה עצמה?</w:t>
      </w:r>
    </w:p>
    <w:p>
      <w:pPr>
        <w:bidi/>
        <w:spacing w:after="160" w:line="300" w:lineRule="auto"/>
        <w:jc w:val="right"/>
      </w:pPr>
      <w:r>
        <w:rPr>
          <w:rFonts w:ascii="David" w:cs="David" w:eastAsia="David" w:hAnsi="David"/>
          <w:sz w:val="26"/>
          <w:szCs w:val="26"/>
          <w:rtl/>
        </w:rPr>
        <w:t xml:space="preserve">הכתוב מצווה על חג השבועות: "ושמחת לפני ה' אלהיך אתה ובנך ובתך ועבדך ואמתך והלוי אשר בשעריך והגר והיתום והאלמנה אשר בקרבך" (</w:t>
      </w:r>
      <w:r>
        <w:rPr>
          <w:rFonts w:ascii="David" w:cs="David" w:eastAsia="David" w:hAnsi="David"/>
          <w:b/>
          <w:bCs/>
          <w:color w:val="8B0000"/>
          <w:sz w:val="26"/>
          <w:szCs w:val="26"/>
          <w:rtl/>
        </w:rPr>
        <w:t xml:space="preserve">דברים טז, יא</w:t>
      </w:r>
      <w:r>
        <w:rPr>
          <w:rFonts w:ascii="David" w:cs="David" w:eastAsia="David" w:hAnsi="David"/>
          <w:sz w:val="26"/>
          <w:szCs w:val="26"/>
          <w:rtl/>
        </w:rPr>
        <w:t xml:space="preserve">). רשימת המוזמנים אינה נספח למצווה אלא חלק ממנה – התורה אינה מצווה לשמוח ואחר כך לזכור את העניים, אלא לשמוח איתם.</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שהשמחה נמדדת לפי מי שיושב סביב השולחן. אדם יכול לערוך סעודה מפוארת ולהישאר לבדו, ויכולה להיות סעודה פשוטה שיש בה שמחה גדולה מפני שאין בה מי שנשאר בחוץ. השמחה איננה בכמות אלא בהיקף.</w:t>
      </w:r>
    </w:p>
    <w:p>
      <w:pPr>
        <w:bidi/>
        <w:spacing w:after="160" w:line="300" w:lineRule="auto"/>
        <w:jc w:val="right"/>
      </w:pP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שמי ששמח לבדו ואינו משתף את החסרים בשמחתו – אין שמחתו עולה למעלה כראוי.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שהשלמות מצויה בחיבור ולא בפירוד: שולחן שיש בו רק בני הבית הוא שולחן סגור, ושולחן שנפתח לאורח נעשה כלי לקבל שפע.</w:t>
      </w:r>
    </w:p>
    <w:p>
      <w:pPr>
        <w:bidi/>
        <w:spacing w:after="160" w:line="300" w:lineRule="auto"/>
        <w:jc w:val="right"/>
      </w:pPr>
      <w:r>
        <w:rPr>
          <w:rFonts w:ascii="David" w:cs="David" w:eastAsia="David" w:hAnsi="David"/>
          <w:sz w:val="26"/>
          <w:szCs w:val="26"/>
          <w:rtl/>
        </w:rPr>
        <w:t xml:space="preserve">ולכן נכתב "והגר והיתום והאלמנה אשר בשעריך" – בשעריך דווקא. אין התורה מדברת על עניי עולם רחוקים אלא על מי שנמצא בשער שלך, בקרבתך ובטווח ראייתך.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שהמבחן איננו בתרומה שנשלחת למרחוק, אלא במי שאתה עובר לידו כל יום ואינך רואה.</w:t>
      </w:r>
    </w:p>
    <w:p>
      <w:pPr>
        <w:bidi/>
        <w:spacing w:after="160" w:line="300" w:lineRule="auto"/>
        <w:jc w:val="right"/>
      </w:pPr>
      <w:r>
        <w:rPr>
          <w:rFonts w:ascii="David" w:cs="David" w:eastAsia="David" w:hAnsi="David"/>
          <w:sz w:val="26"/>
          <w:szCs w:val="26"/>
          <w:rtl/>
        </w:rPr>
        <w:t xml:space="preserve">ומכאן שהשמחה שהתורה מצווה עליה איננה רגש שמצווים עליו – שהרי אי אפשר לצוות על הלב. היא תוצאה של מעשה: פתח את הדלת, הושב לידך את מי שאין לו, ותגלה שהשמחה באה מאליה. התורה אינה מצווה עלינו להרגיש דבר, אלא לעשות את המעשה שמוליד מאליו את ההרגשה הזאת.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החג או האירוע המשפחתי הבא, חשוב על אדם אחד שאין לו לאן ללכת והזמן אותו. השמחה הגדולה ביותר אינה זו שאתה מארגן לעצמך, אלא זו שאתה עושה מקום בתוכה לעוד מישהו.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יא; הראשון לציון הרב מרדכי אליהו זצוק"ל; הזוהר הקדוש; כתבי האר"י מפי רבי חיים ויטאל; הרב מאיר אליהו</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המצה נקראת "לחם עני" ומיד אחר כך נאמר "וזבחת פסח... ושמחת בחגך" – איך מתחברים לחם של עוני ושמחה של חג באותה סעודה?</w:t>
      </w:r>
    </w:p>
    <w:p>
      <w:pPr>
        <w:bidi/>
        <w:spacing w:after="160" w:line="300" w:lineRule="auto"/>
        <w:jc w:val="right"/>
      </w:pPr>
      <w:r>
        <w:rPr>
          <w:rFonts w:ascii="David" w:cs="David" w:eastAsia="David" w:hAnsi="David"/>
          <w:sz w:val="26"/>
          <w:szCs w:val="26"/>
          <w:rtl/>
        </w:rPr>
        <w:t xml:space="preserve">הכתוב מצווה על חג הפסח: "שבעת ימים תאכל עליו מצות לחם עני כי בחפזון יצאת מארץ מצרים" (</w:t>
      </w:r>
      <w:r>
        <w:rPr>
          <w:rFonts w:ascii="David" w:cs="David" w:eastAsia="David" w:hAnsi="David"/>
          <w:b/>
          <w:bCs/>
          <w:color w:val="8B0000"/>
          <w:sz w:val="26"/>
          <w:szCs w:val="26"/>
          <w:rtl/>
        </w:rPr>
        <w:t xml:space="preserve">דברים טז, ג</w:t>
      </w:r>
      <w:r>
        <w:rPr>
          <w:rFonts w:ascii="David" w:cs="David" w:eastAsia="David" w:hAnsi="David"/>
          <w:sz w:val="26"/>
          <w:szCs w:val="26"/>
          <w:rtl/>
        </w:rPr>
        <w:t xml:space="preserve">), ובהמשך הפרשה נצטווינו "ושמחת בחגך" (</w:t>
      </w:r>
      <w:r>
        <w:rPr>
          <w:rFonts w:ascii="David" w:cs="David" w:eastAsia="David" w:hAnsi="David"/>
          <w:b/>
          <w:bCs/>
          <w:color w:val="8B0000"/>
          <w:sz w:val="26"/>
          <w:szCs w:val="26"/>
          <w:rtl/>
        </w:rPr>
        <w:t xml:space="preserve">דברים טז, יד</w:t>
      </w:r>
      <w:r>
        <w:rPr>
          <w:rFonts w:ascii="David" w:cs="David" w:eastAsia="David" w:hAnsi="David"/>
          <w:sz w:val="26"/>
          <w:szCs w:val="26"/>
          <w:rtl/>
        </w:rPr>
        <w:t xml:space="preserve">). המצה מייצגת דוחק וחיפזון, והחג מייצג שמחה – והתורה מציבה את שניהם יחד באותו מועד.</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שהמצה היא לחם של אמונה. אין בה שאור ואין בה תפיחה – היא בדיוק מה שהיא, בלי הוספה ובלי גאווה. ולכן דווקא היא לחם החירות: מי שאינו צריך שהמראה החיצוני יגדיל אותו, הוא אדם חופשי באמת, ואין לו למי להשתעבד.</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שהחמץ נתפח מבפנים ומתמלא באוויר, והוא כנגד הגאווה. יציאת מצרים הייתה יציאה מן העבדות, ועבדות מתחילה בכך שאדם צריך את הרושם שהוא עושה. המצה הפשוטה היא עדות שהעם יצא לא רק ממצרים – אלא גם מן הצורך להיראות.</w:t>
      </w:r>
    </w:p>
    <w:p>
      <w:pPr>
        <w:bidi/>
        <w:spacing w:after="160" w:line="300" w:lineRule="auto"/>
        <w:jc w:val="right"/>
      </w:pPr>
      <w:r>
        <w:rPr>
          <w:rFonts w:ascii="David" w:cs="David" w:eastAsia="David" w:hAnsi="David"/>
          <w:sz w:val="26"/>
          <w:szCs w:val="26"/>
          <w:rtl/>
        </w:rPr>
        <w:t xml:space="preserve">ומדוע נאמר "בחפזון יצאת"?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שהחיפזון עצמו הוא חלק מן הנס: לא היה זמן לתכנן, להתארגן ולהבטיח את הצעד הבא. השמחה כאן איננה שמחה של מי שהכל מסודר אצלו, אלא של מי שיצא לדרך בלי לדעת מה יהיה – ובטח במי שהוציא אותו.</w:t>
      </w:r>
    </w:p>
    <w:p>
      <w:pPr>
        <w:bidi/>
        <w:spacing w:after="160" w:line="300" w:lineRule="auto"/>
        <w:jc w:val="right"/>
      </w:pPr>
      <w:r>
        <w:rPr>
          <w:rFonts w:ascii="David" w:cs="David" w:eastAsia="David" w:hAnsi="David"/>
          <w:sz w:val="26"/>
          <w:szCs w:val="26"/>
          <w:rtl/>
        </w:rPr>
        <w:t xml:space="preserve">נמצא ששני הפכים אלה הם דבר אחד. "לחם עני" איננו הניגוד לשמחה אלא תנאי שלה: כשאדם מפחית את הצרכים המדומים שלו, נשארת לו שמחה מן הדברים האמיתיים. וזו סעודה שאין בה שאור ואין בה תפיחה כלל, ואף על פי כן אין בכל השנה כולה סעודה שמחה ממנה.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נסה להפחית דבר אחד שאתה מחזיק בו רק כדי להיראות – מותרות, השוואה, צורך באישור. הרבה מן העומס שאנחנו סוחבים אינו צורך אמיתי, ודווקא ההפחתה הזאת מפנה מקום לשמחה.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ג; דברים טז, יד; הבן איש חי; המהר"ל מפראג; הרב אליהו עמר</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הפרשה חותמת בשלוש רגלים ובציווי "ולא יראה את פני ה' ריקם" – מה בדיוק אסור להביא ריק, ומה נדרש מן העולה לרגל?</w:t>
      </w:r>
    </w:p>
    <w:p>
      <w:pPr>
        <w:bidi/>
        <w:spacing w:after="160" w:line="300" w:lineRule="auto"/>
        <w:jc w:val="right"/>
      </w:pPr>
      <w:r>
        <w:rPr>
          <w:rFonts w:ascii="David" w:cs="David" w:eastAsia="David" w:hAnsi="David"/>
          <w:sz w:val="26"/>
          <w:szCs w:val="26"/>
          <w:rtl/>
        </w:rPr>
        <w:t xml:space="preserve">הכתוב חותם את הפרשה: "שלוש פעמים בשנה יראה כל זכורך את פני ה' אלהיך במקום אשר יבחר... ולא יראה את פני ה' ריקם. איש כמתנת ידו כברכת ה' אלהיך אשר נתן לך" (</w:t>
      </w:r>
      <w:r>
        <w:rPr>
          <w:rFonts w:ascii="David" w:cs="David" w:eastAsia="David" w:hAnsi="David"/>
          <w:b/>
          <w:bCs/>
          <w:color w:val="8B0000"/>
          <w:sz w:val="26"/>
          <w:szCs w:val="26"/>
          <w:rtl/>
        </w:rPr>
        <w:t xml:space="preserve">דברים טז, טז-יז</w:t>
      </w:r>
      <w:r>
        <w:rPr>
          <w:rFonts w:ascii="David" w:cs="David" w:eastAsia="David" w:hAnsi="David"/>
          <w:sz w:val="26"/>
          <w:szCs w:val="26"/>
          <w:rtl/>
        </w:rPr>
        <w:t xml:space="preserve">). התורה מחייבת כאן עלייה שלוש פעמים בשנה, ומוסיפה מיד שאין באים אל המקום הזה בידיים ריקות.</w:t>
      </w:r>
    </w:p>
    <w:p>
      <w:pPr>
        <w:bidi/>
        <w:spacing w:after="160" w:line="300" w:lineRule="auto"/>
        <w:jc w:val="right"/>
      </w:pPr>
      <w:r>
        <w:rPr>
          <w:rFonts w:ascii="David" w:cs="David" w:eastAsia="David" w:hAnsi="David"/>
          <w:sz w:val="26"/>
          <w:szCs w:val="26"/>
          <w:rtl/>
        </w:rPr>
        <w:t xml:space="preserve">והנה מיד מגדיר הכתוב את השיעור: "איש כמתנת ידו כברכת ה' אלהיך אשר נתן לך". אין סכום קבוע ואין תעריף אחיד.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שהתורה מדדה כאן לפי היכולת ולא לפי הכמות, ולכן העני המביא מעט מקיים את המצווה בשלמות ככל שיבוא לפני ה' כפי ברכתו.</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בלשון "כברכת ה' אלהיך אשר נתן לך" – ההבאה נמדדת ביחס למה שקיבלת, לא ביחס למה שהביא חברך. שני אנשים המביאים סכום זהה אינם בהכרח שווים, ושניים המביאים סכומים שונים בתכלית יכולים להיות שווים לגמרי לפני מי שיודע כמה נתן לכל אחד.</w:t>
      </w:r>
    </w:p>
    <w:p>
      <w:pPr>
        <w:bidi/>
        <w:spacing w:after="160" w:line="300" w:lineRule="auto"/>
        <w:jc w:val="right"/>
      </w:pPr>
      <w:r>
        <w:rPr>
          <w:rFonts w:ascii="David" w:cs="David" w:eastAsia="David" w:hAnsi="David"/>
          <w:sz w:val="26"/>
          <w:szCs w:val="26"/>
          <w:rtl/>
        </w:rPr>
        <w:t xml:space="preserve">והנה חתימה זו קושרת את כל הפרשה. היא נפתחה ב"ראה אנכי נתן לפניכם" – הקב"ה נותן, ונחתמת ב"כברכת ה' אשר נתן לך" – והאדם משיב מן הנתינה שקיבל.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שכל הפרשה היא מעגל אחד של נתינה, ואין בה שום דבר שאדם מביא באמת משלו.</w:t>
      </w:r>
    </w:p>
    <w:p>
      <w:pPr>
        <w:bidi/>
        <w:spacing w:after="160" w:line="300" w:lineRule="auto"/>
        <w:jc w:val="right"/>
      </w:pPr>
      <w:r>
        <w:rPr>
          <w:rFonts w:ascii="David" w:cs="David" w:eastAsia="David" w:hAnsi="David"/>
          <w:sz w:val="26"/>
          <w:szCs w:val="26"/>
          <w:rtl/>
        </w:rPr>
        <w:t xml:space="preserve">ולכן נאמר "ולא יראה את פני ה' ריקם" ולא נאמר "לא יבוא ריקם".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שהעניין איננו בשק שביד אלא באדם עצמו: מי שעולה בלי שהביא איתו משהו מעצמו – מן ההודאה, מן ההשתנות, מן הכיסופים – נראה ריק, גם אם ידיו מלאות.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בא למקום חשוב לך – תפילה, ביקור אצל הורים, שולחן שבת – שאל מה אתה מביא איתך, ולא רק מה אתה מקווה לקבל. מי שמגיע עם משהו לתת אף פעם לא יוצא ריק.</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טז, טז-יז; מרן הרב עובדיה יוסף זצוק"ל; הגר"א; הרב מאיר אליהו; הראשון לציון הרב מרדכי אליהו זצוק"ל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2026-08-06T19:01:09.050Z</dcterms:created>
  <dcterms:modified xsi:type="dcterms:W3CDTF">2026-08-06T19:01:09.058Z</dcterms:modified>
</cp:coreProperties>
</file>

<file path=docProps/custom.xml><?xml version="1.0" encoding="utf-8"?>
<Properties xmlns="http://schemas.openxmlformats.org/officeDocument/2006/custom-properties" xmlns:vt="http://schemas.openxmlformats.org/officeDocument/2006/docPropsVTypes"/>
</file>